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0E" w:rsidRDefault="002C2573" w:rsidP="00A04BEF">
      <w:pPr>
        <w:autoSpaceDE w:val="0"/>
        <w:autoSpaceDN w:val="0"/>
        <w:adjustRightInd w:val="0"/>
        <w:spacing w:after="120" w:line="360" w:lineRule="auto"/>
        <w:rPr>
          <w:b/>
          <w:sz w:val="36"/>
          <w:szCs w:val="36"/>
        </w:rPr>
      </w:pPr>
      <w:bookmarkStart w:id="0" w:name="_GoBack"/>
      <w:bookmarkEnd w:id="0"/>
      <w:r w:rsidRPr="001927B6">
        <w:rPr>
          <w:b/>
          <w:sz w:val="36"/>
          <w:szCs w:val="36"/>
        </w:rPr>
        <w:t xml:space="preserve"> </w:t>
      </w: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Pr="002B1AB7" w:rsidRDefault="00C3430E" w:rsidP="00A04BEF">
      <w:pPr>
        <w:autoSpaceDE w:val="0"/>
        <w:autoSpaceDN w:val="0"/>
        <w:adjustRightInd w:val="0"/>
        <w:spacing w:after="120" w:line="360" w:lineRule="auto"/>
        <w:rPr>
          <w:b/>
          <w:sz w:val="36"/>
          <w:szCs w:val="36"/>
        </w:rPr>
      </w:pPr>
    </w:p>
    <w:p w:rsidR="002D4790" w:rsidRPr="002B1AB7" w:rsidRDefault="00C3430E" w:rsidP="00C3430E">
      <w:pPr>
        <w:autoSpaceDE w:val="0"/>
        <w:autoSpaceDN w:val="0"/>
        <w:adjustRightInd w:val="0"/>
        <w:spacing w:after="120" w:line="360" w:lineRule="auto"/>
        <w:jc w:val="center"/>
        <w:rPr>
          <w:b/>
          <w:sz w:val="56"/>
          <w:szCs w:val="56"/>
        </w:rPr>
      </w:pPr>
      <w:r w:rsidRPr="002B1AB7">
        <w:rPr>
          <w:b/>
          <w:sz w:val="56"/>
          <w:szCs w:val="56"/>
        </w:rPr>
        <w:t>PRODUTO INTERNO BRUTO</w:t>
      </w:r>
      <w:r w:rsidR="002D4790" w:rsidRPr="002B1AB7">
        <w:rPr>
          <w:b/>
          <w:sz w:val="56"/>
          <w:szCs w:val="56"/>
        </w:rPr>
        <w:t xml:space="preserve"> – PIB </w:t>
      </w:r>
    </w:p>
    <w:p w:rsidR="00C3430E" w:rsidRPr="002B1AB7" w:rsidRDefault="002D4790" w:rsidP="00C3430E">
      <w:pPr>
        <w:autoSpaceDE w:val="0"/>
        <w:autoSpaceDN w:val="0"/>
        <w:adjustRightInd w:val="0"/>
        <w:spacing w:after="120" w:line="360" w:lineRule="auto"/>
        <w:jc w:val="center"/>
        <w:rPr>
          <w:b/>
          <w:sz w:val="56"/>
          <w:szCs w:val="56"/>
        </w:rPr>
      </w:pPr>
      <w:r w:rsidRPr="002B1AB7">
        <w:rPr>
          <w:b/>
          <w:sz w:val="56"/>
          <w:szCs w:val="56"/>
        </w:rPr>
        <w:t xml:space="preserve">PIAUÍ </w:t>
      </w:r>
      <w:r w:rsidR="00C3430E" w:rsidRPr="002B1AB7">
        <w:rPr>
          <w:b/>
          <w:sz w:val="56"/>
          <w:szCs w:val="56"/>
        </w:rPr>
        <w:t>2013</w:t>
      </w:r>
    </w:p>
    <w:p w:rsidR="00C3430E" w:rsidRPr="002B1AB7"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C3430E" w:rsidRDefault="00C3430E" w:rsidP="00A04BEF">
      <w:pPr>
        <w:autoSpaceDE w:val="0"/>
        <w:autoSpaceDN w:val="0"/>
        <w:adjustRightInd w:val="0"/>
        <w:spacing w:after="120" w:line="360" w:lineRule="auto"/>
        <w:rPr>
          <w:b/>
          <w:sz w:val="36"/>
          <w:szCs w:val="36"/>
        </w:rPr>
      </w:pPr>
    </w:p>
    <w:p w:rsidR="006864F7" w:rsidRDefault="006864F7" w:rsidP="00A04BEF">
      <w:pPr>
        <w:autoSpaceDE w:val="0"/>
        <w:autoSpaceDN w:val="0"/>
        <w:adjustRightInd w:val="0"/>
        <w:spacing w:after="120" w:line="360" w:lineRule="auto"/>
        <w:rPr>
          <w:b/>
          <w:sz w:val="36"/>
          <w:szCs w:val="36"/>
        </w:rPr>
      </w:pPr>
    </w:p>
    <w:p w:rsidR="00D754FA" w:rsidRDefault="00D754FA" w:rsidP="006864F7">
      <w:pPr>
        <w:autoSpaceDE w:val="0"/>
        <w:autoSpaceDN w:val="0"/>
        <w:adjustRightInd w:val="0"/>
        <w:spacing w:after="120" w:line="360" w:lineRule="auto"/>
        <w:jc w:val="center"/>
        <w:rPr>
          <w:rFonts w:ascii="Arial" w:hAnsi="Arial" w:cs="Arial"/>
          <w:b/>
          <w:color w:val="000000"/>
          <w:sz w:val="28"/>
          <w:szCs w:val="28"/>
        </w:rPr>
      </w:pPr>
    </w:p>
    <w:p w:rsidR="00293971" w:rsidRDefault="00293971" w:rsidP="006E2819">
      <w:pPr>
        <w:pStyle w:val="Default"/>
        <w:rPr>
          <w:sz w:val="28"/>
          <w:szCs w:val="28"/>
        </w:rPr>
        <w:sectPr w:rsidR="00293971" w:rsidSect="00A04BEF">
          <w:headerReference w:type="default" r:id="rId9"/>
          <w:pgSz w:w="11906" w:h="16838" w:code="9"/>
          <w:pgMar w:top="1418" w:right="1418" w:bottom="1418" w:left="1701" w:header="709" w:footer="709" w:gutter="0"/>
          <w:cols w:space="708"/>
          <w:docGrid w:linePitch="360"/>
        </w:sectPr>
      </w:pPr>
    </w:p>
    <w:p w:rsidR="006E2819" w:rsidRPr="009507E1" w:rsidRDefault="006E2819" w:rsidP="006E2819">
      <w:pPr>
        <w:pStyle w:val="Default"/>
        <w:rPr>
          <w:sz w:val="28"/>
          <w:szCs w:val="28"/>
        </w:rPr>
      </w:pPr>
    </w:p>
    <w:p w:rsidR="006E2819" w:rsidRPr="002B1AB7" w:rsidRDefault="004D6152" w:rsidP="00F56CCD">
      <w:pPr>
        <w:pStyle w:val="Default"/>
        <w:spacing w:line="360" w:lineRule="auto"/>
        <w:rPr>
          <w:b/>
          <w:bCs/>
          <w:color w:val="auto"/>
          <w:sz w:val="32"/>
          <w:szCs w:val="32"/>
        </w:rPr>
      </w:pPr>
      <w:r w:rsidRPr="002B1AB7">
        <w:rPr>
          <w:color w:val="auto"/>
          <w:sz w:val="32"/>
          <w:szCs w:val="32"/>
        </w:rPr>
        <w:t>N</w:t>
      </w:r>
      <w:r w:rsidR="006E2819" w:rsidRPr="002B1AB7">
        <w:rPr>
          <w:b/>
          <w:bCs/>
          <w:color w:val="auto"/>
          <w:sz w:val="32"/>
          <w:szCs w:val="32"/>
        </w:rPr>
        <w:t>ota metodológica das Contas Regionais – referência 2010</w:t>
      </w:r>
    </w:p>
    <w:p w:rsidR="009507E1" w:rsidRPr="002B1AB7" w:rsidRDefault="009507E1" w:rsidP="009507E1">
      <w:pPr>
        <w:pStyle w:val="Default"/>
        <w:spacing w:line="360" w:lineRule="auto"/>
        <w:jc w:val="both"/>
        <w:rPr>
          <w:color w:val="auto"/>
          <w:sz w:val="32"/>
          <w:szCs w:val="32"/>
        </w:rPr>
      </w:pPr>
    </w:p>
    <w:p w:rsidR="006E2819" w:rsidRPr="002B1AB7" w:rsidRDefault="00621C81" w:rsidP="00E871F1">
      <w:pPr>
        <w:pStyle w:val="Default"/>
        <w:spacing w:line="360" w:lineRule="auto"/>
        <w:jc w:val="both"/>
        <w:rPr>
          <w:color w:val="auto"/>
          <w:sz w:val="28"/>
          <w:szCs w:val="28"/>
        </w:rPr>
      </w:pPr>
      <w:r w:rsidRPr="002B1AB7">
        <w:rPr>
          <w:color w:val="auto"/>
          <w:sz w:val="28"/>
          <w:szCs w:val="28"/>
        </w:rPr>
        <w:t xml:space="preserve">     </w:t>
      </w:r>
      <w:r w:rsidR="006E2819" w:rsidRPr="002B1AB7">
        <w:rPr>
          <w:color w:val="auto"/>
          <w:sz w:val="28"/>
          <w:szCs w:val="28"/>
        </w:rPr>
        <w:t>A divulgação da série das Contas Regionais do Brasil – referência 2010 dá continuidade ao projeto de implantação do Sistema de Contas Nacionais – referência 2010</w:t>
      </w:r>
      <w:r w:rsidR="006E2819" w:rsidRPr="002B1AB7">
        <w:rPr>
          <w:b/>
          <w:bCs/>
          <w:color w:val="auto"/>
          <w:sz w:val="28"/>
          <w:szCs w:val="28"/>
        </w:rPr>
        <w:t xml:space="preserve">. </w:t>
      </w:r>
      <w:r w:rsidR="006E2819" w:rsidRPr="002B1AB7">
        <w:rPr>
          <w:color w:val="auto"/>
          <w:sz w:val="28"/>
          <w:szCs w:val="28"/>
        </w:rPr>
        <w:t xml:space="preserve">A nova série permitiu a atualização de classificações e conceitos, incorporação de novas fontes de dados e a definição de novas estruturas de referência. </w:t>
      </w:r>
    </w:p>
    <w:p w:rsidR="00621C81" w:rsidRPr="002B1AB7" w:rsidRDefault="00621C81" w:rsidP="00621C81">
      <w:pPr>
        <w:pStyle w:val="Default"/>
        <w:spacing w:line="276" w:lineRule="auto"/>
        <w:jc w:val="both"/>
        <w:rPr>
          <w:color w:val="auto"/>
          <w:sz w:val="28"/>
          <w:szCs w:val="28"/>
        </w:rPr>
      </w:pPr>
    </w:p>
    <w:p w:rsidR="006E2819" w:rsidRPr="002B1AB7" w:rsidRDefault="00621C81" w:rsidP="00621C81">
      <w:pPr>
        <w:pStyle w:val="Default"/>
        <w:spacing w:line="360" w:lineRule="auto"/>
        <w:jc w:val="both"/>
        <w:rPr>
          <w:color w:val="auto"/>
          <w:sz w:val="28"/>
          <w:szCs w:val="28"/>
        </w:rPr>
      </w:pPr>
      <w:r w:rsidRPr="002B1AB7">
        <w:rPr>
          <w:color w:val="auto"/>
          <w:sz w:val="28"/>
          <w:szCs w:val="28"/>
        </w:rPr>
        <w:t xml:space="preserve">     </w:t>
      </w:r>
      <w:r w:rsidR="006E2819" w:rsidRPr="002B1AB7">
        <w:rPr>
          <w:color w:val="auto"/>
          <w:sz w:val="28"/>
          <w:szCs w:val="28"/>
        </w:rPr>
        <w:t xml:space="preserve">A implantação da série referência 2010, em substituição à série referência 2002, foi facilitada pela manutenção dos marcos de referência dos valores correntes, as pesquisas econômicas estruturais anuais do IBGE (Pesquisa Industrial Anual – Empresa, PIA Empresa, a Pesquisa Anual da Indústria da Construção – PAIC, a Pesquisa Anual de Comércio – PAC e a Pesquisa Anual de Serviços – PAS). Entretanto, em relação à série anterior, destacaram-se as seguintes mudanças: </w:t>
      </w:r>
    </w:p>
    <w:p w:rsidR="00B2582B" w:rsidRPr="002B1AB7" w:rsidRDefault="00B2582B" w:rsidP="00621C81">
      <w:pPr>
        <w:pStyle w:val="Default"/>
        <w:spacing w:line="360" w:lineRule="auto"/>
        <w:jc w:val="both"/>
        <w:rPr>
          <w:color w:val="auto"/>
          <w:sz w:val="28"/>
          <w:szCs w:val="28"/>
        </w:rPr>
      </w:pPr>
    </w:p>
    <w:p w:rsidR="006E2819" w:rsidRPr="002B1AB7" w:rsidRDefault="00186569" w:rsidP="007275D3">
      <w:pPr>
        <w:pStyle w:val="Default"/>
        <w:numPr>
          <w:ilvl w:val="0"/>
          <w:numId w:val="2"/>
        </w:numPr>
        <w:spacing w:line="360" w:lineRule="auto"/>
        <w:jc w:val="both"/>
        <w:rPr>
          <w:color w:val="auto"/>
          <w:sz w:val="28"/>
          <w:szCs w:val="28"/>
        </w:rPr>
      </w:pPr>
      <w:r>
        <w:rPr>
          <w:color w:val="auto"/>
          <w:sz w:val="28"/>
          <w:szCs w:val="28"/>
        </w:rPr>
        <w:t xml:space="preserve">i) </w:t>
      </w:r>
      <w:r w:rsidR="006E2819" w:rsidRPr="002B1AB7">
        <w:rPr>
          <w:color w:val="auto"/>
          <w:sz w:val="28"/>
          <w:szCs w:val="28"/>
        </w:rPr>
        <w:t xml:space="preserve">Adoção de nova classificação de atividades integradas com a Classificação de Atividades Econômicas - CNAE 2.0; </w:t>
      </w:r>
    </w:p>
    <w:p w:rsidR="006E2819" w:rsidRPr="002B1AB7" w:rsidRDefault="006E2819" w:rsidP="007275D3">
      <w:pPr>
        <w:pStyle w:val="Default"/>
        <w:numPr>
          <w:ilvl w:val="0"/>
          <w:numId w:val="2"/>
        </w:numPr>
        <w:spacing w:line="360" w:lineRule="auto"/>
        <w:jc w:val="both"/>
        <w:rPr>
          <w:color w:val="auto"/>
          <w:sz w:val="28"/>
          <w:szCs w:val="28"/>
        </w:rPr>
      </w:pPr>
      <w:proofErr w:type="spellStart"/>
      <w:proofErr w:type="gramStart"/>
      <w:r w:rsidRPr="002B1AB7">
        <w:rPr>
          <w:color w:val="auto"/>
          <w:sz w:val="28"/>
          <w:szCs w:val="28"/>
        </w:rPr>
        <w:t>ii</w:t>
      </w:r>
      <w:proofErr w:type="spellEnd"/>
      <w:proofErr w:type="gramEnd"/>
      <w:r w:rsidRPr="002B1AB7">
        <w:rPr>
          <w:color w:val="auto"/>
          <w:sz w:val="28"/>
          <w:szCs w:val="28"/>
        </w:rPr>
        <w:t xml:space="preserve">) Introdução dos resultados do Censo Agropecuário de 2006, da Pesquisa de Orçamentos Familiares de 2008/2009 e da Pesquisa de Inovação (PINTEC) de 2011; </w:t>
      </w:r>
    </w:p>
    <w:p w:rsidR="006E2819" w:rsidRPr="002B1AB7" w:rsidRDefault="006E2819" w:rsidP="007275D3">
      <w:pPr>
        <w:pStyle w:val="Default"/>
        <w:numPr>
          <w:ilvl w:val="0"/>
          <w:numId w:val="2"/>
        </w:numPr>
        <w:spacing w:line="360" w:lineRule="auto"/>
        <w:jc w:val="both"/>
        <w:rPr>
          <w:color w:val="auto"/>
          <w:sz w:val="28"/>
          <w:szCs w:val="28"/>
        </w:rPr>
      </w:pPr>
      <w:proofErr w:type="spellStart"/>
      <w:r w:rsidRPr="002B1AB7">
        <w:rPr>
          <w:color w:val="auto"/>
          <w:sz w:val="28"/>
          <w:szCs w:val="28"/>
        </w:rPr>
        <w:t>iii</w:t>
      </w:r>
      <w:proofErr w:type="spellEnd"/>
      <w:r w:rsidRPr="002B1AB7">
        <w:rPr>
          <w:color w:val="auto"/>
          <w:sz w:val="28"/>
          <w:szCs w:val="28"/>
        </w:rPr>
        <w:t xml:space="preserve">) Utilização dos dados da declaração de Imposto de Renda Pessoa Física (DIPF); </w:t>
      </w:r>
    </w:p>
    <w:p w:rsidR="006E2819" w:rsidRPr="002B1AB7" w:rsidRDefault="006E2819" w:rsidP="007275D3">
      <w:pPr>
        <w:pStyle w:val="Default"/>
        <w:numPr>
          <w:ilvl w:val="0"/>
          <w:numId w:val="2"/>
        </w:numPr>
        <w:spacing w:line="360" w:lineRule="auto"/>
        <w:jc w:val="both"/>
        <w:rPr>
          <w:color w:val="auto"/>
          <w:sz w:val="28"/>
          <w:szCs w:val="28"/>
        </w:rPr>
      </w:pPr>
      <w:proofErr w:type="spellStart"/>
      <w:r w:rsidRPr="002B1AB7">
        <w:rPr>
          <w:color w:val="auto"/>
          <w:sz w:val="28"/>
          <w:szCs w:val="28"/>
        </w:rPr>
        <w:t>iv</w:t>
      </w:r>
      <w:proofErr w:type="spellEnd"/>
      <w:r w:rsidRPr="002B1AB7">
        <w:rPr>
          <w:color w:val="auto"/>
          <w:sz w:val="28"/>
          <w:szCs w:val="28"/>
        </w:rPr>
        <w:t xml:space="preserve">) Utilização dos dados do Sistema Integrado de Administração de Recursos Humanos – SIAPE; </w:t>
      </w:r>
    </w:p>
    <w:p w:rsidR="00521C2C" w:rsidRPr="002B1AB7" w:rsidRDefault="006E2819" w:rsidP="007275D3">
      <w:pPr>
        <w:pStyle w:val="Default"/>
        <w:numPr>
          <w:ilvl w:val="0"/>
          <w:numId w:val="2"/>
        </w:numPr>
        <w:spacing w:line="360" w:lineRule="auto"/>
        <w:jc w:val="both"/>
        <w:rPr>
          <w:color w:val="auto"/>
          <w:sz w:val="28"/>
          <w:szCs w:val="28"/>
        </w:rPr>
      </w:pPr>
      <w:r w:rsidRPr="002B1AB7">
        <w:rPr>
          <w:color w:val="auto"/>
          <w:sz w:val="28"/>
          <w:szCs w:val="28"/>
        </w:rPr>
        <w:lastRenderedPageBreak/>
        <w:t xml:space="preserve">v) Aperfeiçoamentos metodológicos: revisão do método de estimação do aluguel imputado, e reclassificação da Contribuição ao Programa de Integração Social (PIS); </w:t>
      </w:r>
    </w:p>
    <w:p w:rsidR="006E2819" w:rsidRPr="002B1AB7" w:rsidRDefault="005B722B" w:rsidP="007275D3">
      <w:pPr>
        <w:pStyle w:val="Default"/>
        <w:numPr>
          <w:ilvl w:val="0"/>
          <w:numId w:val="2"/>
        </w:numPr>
        <w:spacing w:line="360" w:lineRule="auto"/>
        <w:jc w:val="both"/>
        <w:rPr>
          <w:color w:val="auto"/>
          <w:sz w:val="28"/>
          <w:szCs w:val="28"/>
        </w:rPr>
      </w:pPr>
      <w:proofErr w:type="gramStart"/>
      <w:r>
        <w:rPr>
          <w:color w:val="auto"/>
          <w:sz w:val="28"/>
          <w:szCs w:val="28"/>
        </w:rPr>
        <w:t>vi</w:t>
      </w:r>
      <w:proofErr w:type="gramEnd"/>
      <w:r>
        <w:rPr>
          <w:color w:val="auto"/>
          <w:sz w:val="28"/>
          <w:szCs w:val="28"/>
        </w:rPr>
        <w:t xml:space="preserve">) </w:t>
      </w:r>
      <w:r w:rsidR="006E2819" w:rsidRPr="002B1AB7">
        <w:rPr>
          <w:color w:val="auto"/>
          <w:sz w:val="28"/>
          <w:szCs w:val="28"/>
        </w:rPr>
        <w:t xml:space="preserve">Adoção das recomendações e modificações do manual internacional de Contas Nacionais das Nações Unidas, </w:t>
      </w:r>
      <w:r w:rsidR="006E2819" w:rsidRPr="002B1AB7">
        <w:rPr>
          <w:i/>
          <w:iCs/>
          <w:color w:val="auto"/>
          <w:sz w:val="28"/>
          <w:szCs w:val="28"/>
        </w:rPr>
        <w:t xml:space="preserve">System </w:t>
      </w:r>
      <w:proofErr w:type="spellStart"/>
      <w:r w:rsidR="006E2819" w:rsidRPr="002B1AB7">
        <w:rPr>
          <w:i/>
          <w:iCs/>
          <w:color w:val="auto"/>
          <w:sz w:val="28"/>
          <w:szCs w:val="28"/>
        </w:rPr>
        <w:t>of</w:t>
      </w:r>
      <w:proofErr w:type="spellEnd"/>
      <w:r w:rsidR="006E2819" w:rsidRPr="002B1AB7">
        <w:rPr>
          <w:i/>
          <w:iCs/>
          <w:color w:val="auto"/>
          <w:sz w:val="28"/>
          <w:szCs w:val="28"/>
        </w:rPr>
        <w:t xml:space="preserve"> </w:t>
      </w:r>
      <w:proofErr w:type="spellStart"/>
      <w:r w:rsidR="006E2819" w:rsidRPr="002B1AB7">
        <w:rPr>
          <w:i/>
          <w:iCs/>
          <w:color w:val="auto"/>
          <w:sz w:val="28"/>
          <w:szCs w:val="28"/>
        </w:rPr>
        <w:t>National</w:t>
      </w:r>
      <w:proofErr w:type="spellEnd"/>
      <w:r w:rsidR="006E2819" w:rsidRPr="002B1AB7">
        <w:rPr>
          <w:i/>
          <w:iCs/>
          <w:color w:val="auto"/>
          <w:sz w:val="28"/>
          <w:szCs w:val="28"/>
        </w:rPr>
        <w:t xml:space="preserve"> </w:t>
      </w:r>
      <w:proofErr w:type="spellStart"/>
      <w:r w:rsidR="006E2819" w:rsidRPr="002B1AB7">
        <w:rPr>
          <w:i/>
          <w:iCs/>
          <w:color w:val="auto"/>
          <w:sz w:val="28"/>
          <w:szCs w:val="28"/>
        </w:rPr>
        <w:t>Accounts</w:t>
      </w:r>
      <w:proofErr w:type="spellEnd"/>
      <w:r w:rsidR="00A068C1" w:rsidRPr="002B1AB7">
        <w:rPr>
          <w:i/>
          <w:iCs/>
          <w:color w:val="auto"/>
          <w:sz w:val="28"/>
          <w:szCs w:val="28"/>
        </w:rPr>
        <w:t xml:space="preserve"> </w:t>
      </w:r>
      <w:r w:rsidR="006E2819" w:rsidRPr="002B1AB7">
        <w:rPr>
          <w:i/>
          <w:iCs/>
          <w:color w:val="auto"/>
          <w:sz w:val="28"/>
          <w:szCs w:val="28"/>
        </w:rPr>
        <w:t xml:space="preserve"> </w:t>
      </w:r>
      <w:r w:rsidR="006E2819" w:rsidRPr="002B1AB7">
        <w:rPr>
          <w:color w:val="auto"/>
          <w:sz w:val="28"/>
          <w:szCs w:val="28"/>
        </w:rPr>
        <w:t xml:space="preserve">SNA 2008, em substituição à versão anterior de 1993; </w:t>
      </w:r>
    </w:p>
    <w:p w:rsidR="006E2819" w:rsidRPr="002B1AB7" w:rsidRDefault="006E2819" w:rsidP="007275D3">
      <w:pPr>
        <w:pStyle w:val="Default"/>
        <w:numPr>
          <w:ilvl w:val="0"/>
          <w:numId w:val="2"/>
        </w:numPr>
        <w:spacing w:line="360" w:lineRule="auto"/>
        <w:jc w:val="both"/>
        <w:rPr>
          <w:color w:val="auto"/>
          <w:sz w:val="28"/>
          <w:szCs w:val="28"/>
        </w:rPr>
      </w:pPr>
      <w:proofErr w:type="spellStart"/>
      <w:r w:rsidRPr="002B1AB7">
        <w:rPr>
          <w:color w:val="auto"/>
          <w:sz w:val="28"/>
          <w:szCs w:val="28"/>
        </w:rPr>
        <w:t>vii</w:t>
      </w:r>
      <w:proofErr w:type="spellEnd"/>
      <w:r w:rsidRPr="002B1AB7">
        <w:rPr>
          <w:color w:val="auto"/>
          <w:sz w:val="28"/>
          <w:szCs w:val="28"/>
        </w:rPr>
        <w:t xml:space="preserve">) Implantação do Sistema Integrado de Contas Regionais – SICOR que permite administrar a base </w:t>
      </w:r>
      <w:r w:rsidR="00BF796B" w:rsidRPr="002B1AB7">
        <w:rPr>
          <w:color w:val="auto"/>
          <w:sz w:val="28"/>
          <w:szCs w:val="28"/>
        </w:rPr>
        <w:t xml:space="preserve">de </w:t>
      </w:r>
      <w:r w:rsidRPr="002B1AB7">
        <w:rPr>
          <w:color w:val="auto"/>
          <w:sz w:val="28"/>
          <w:szCs w:val="28"/>
        </w:rPr>
        <w:t xml:space="preserve">dados do sistema com maior segurança. </w:t>
      </w:r>
    </w:p>
    <w:p w:rsidR="006E2819" w:rsidRPr="002B1AB7" w:rsidRDefault="006E2819" w:rsidP="009507E1">
      <w:pPr>
        <w:pStyle w:val="Default"/>
        <w:spacing w:line="360" w:lineRule="auto"/>
        <w:jc w:val="both"/>
        <w:rPr>
          <w:color w:val="auto"/>
          <w:sz w:val="28"/>
          <w:szCs w:val="28"/>
        </w:rPr>
      </w:pPr>
    </w:p>
    <w:p w:rsidR="00521C2C" w:rsidRPr="002B1AB7" w:rsidRDefault="00B2582B" w:rsidP="00521C2C">
      <w:pPr>
        <w:pStyle w:val="Default"/>
        <w:spacing w:line="360" w:lineRule="auto"/>
        <w:jc w:val="both"/>
        <w:rPr>
          <w:color w:val="auto"/>
          <w:sz w:val="28"/>
          <w:szCs w:val="28"/>
        </w:rPr>
      </w:pPr>
      <w:r w:rsidRPr="002B1AB7">
        <w:rPr>
          <w:color w:val="auto"/>
          <w:sz w:val="28"/>
          <w:szCs w:val="28"/>
        </w:rPr>
        <w:t xml:space="preserve">     </w:t>
      </w:r>
      <w:r w:rsidR="006E2819" w:rsidRPr="002B1AB7">
        <w:rPr>
          <w:color w:val="auto"/>
          <w:sz w:val="28"/>
          <w:szCs w:val="28"/>
        </w:rPr>
        <w:t xml:space="preserve">Para a série referência 2010, a classificação de atividades econômicas passou a incorporar a versão 2.0 da CNAE, que apresenta correspondência com a versão </w:t>
      </w:r>
      <w:proofErr w:type="gramStart"/>
      <w:r w:rsidR="006E2819" w:rsidRPr="002B1AB7">
        <w:rPr>
          <w:color w:val="auto"/>
          <w:sz w:val="28"/>
          <w:szCs w:val="28"/>
        </w:rPr>
        <w:t>4</w:t>
      </w:r>
      <w:proofErr w:type="gramEnd"/>
      <w:r w:rsidR="006E2819" w:rsidRPr="002B1AB7">
        <w:rPr>
          <w:color w:val="auto"/>
          <w:sz w:val="28"/>
          <w:szCs w:val="28"/>
        </w:rPr>
        <w:t xml:space="preserve"> da </w:t>
      </w:r>
      <w:proofErr w:type="spellStart"/>
      <w:r w:rsidR="006E2819" w:rsidRPr="002B1AB7">
        <w:rPr>
          <w:i/>
          <w:iCs/>
          <w:color w:val="auto"/>
          <w:sz w:val="28"/>
          <w:szCs w:val="28"/>
        </w:rPr>
        <w:t>Classificación</w:t>
      </w:r>
      <w:proofErr w:type="spellEnd"/>
      <w:r w:rsidR="006E2819" w:rsidRPr="002B1AB7">
        <w:rPr>
          <w:i/>
          <w:iCs/>
          <w:color w:val="auto"/>
          <w:sz w:val="28"/>
          <w:szCs w:val="28"/>
        </w:rPr>
        <w:t xml:space="preserve"> Industrial Internacional Uniforme de todas </w:t>
      </w:r>
      <w:proofErr w:type="spellStart"/>
      <w:r w:rsidR="006E2819" w:rsidRPr="002B1AB7">
        <w:rPr>
          <w:i/>
          <w:iCs/>
          <w:color w:val="auto"/>
          <w:sz w:val="28"/>
          <w:szCs w:val="28"/>
        </w:rPr>
        <w:t>las</w:t>
      </w:r>
      <w:proofErr w:type="spellEnd"/>
      <w:r w:rsidR="006E2819" w:rsidRPr="002B1AB7">
        <w:rPr>
          <w:i/>
          <w:iCs/>
          <w:color w:val="auto"/>
          <w:sz w:val="28"/>
          <w:szCs w:val="28"/>
        </w:rPr>
        <w:t xml:space="preserve"> </w:t>
      </w:r>
      <w:proofErr w:type="spellStart"/>
      <w:r w:rsidR="006E2819" w:rsidRPr="002B1AB7">
        <w:rPr>
          <w:i/>
          <w:iCs/>
          <w:color w:val="auto"/>
          <w:sz w:val="28"/>
          <w:szCs w:val="28"/>
        </w:rPr>
        <w:t>Actividades</w:t>
      </w:r>
      <w:proofErr w:type="spellEnd"/>
      <w:r w:rsidR="006E2819" w:rsidRPr="002B1AB7">
        <w:rPr>
          <w:i/>
          <w:iCs/>
          <w:color w:val="auto"/>
          <w:sz w:val="28"/>
          <w:szCs w:val="28"/>
        </w:rPr>
        <w:t xml:space="preserve"> Económicas </w:t>
      </w:r>
      <w:r w:rsidR="006E2819" w:rsidRPr="002B1AB7">
        <w:rPr>
          <w:color w:val="auto"/>
          <w:sz w:val="28"/>
          <w:szCs w:val="28"/>
        </w:rPr>
        <w:t xml:space="preserve">- CIUU/ISIC das Nações Unidas. A versão 2.0 da CNAE ampliou as categorias das atividades de serviço, criou categorias específicas para as atividades de meio ambiente e, além disso, passou a considerar a atividade de edição, integrada ou não à impressão, como uma atividade dos serviços e não mais como atividade industrial. </w:t>
      </w:r>
    </w:p>
    <w:p w:rsidR="00A52A98" w:rsidRPr="002B1AB7" w:rsidRDefault="00A52A98" w:rsidP="00521C2C">
      <w:pPr>
        <w:pStyle w:val="Default"/>
        <w:spacing w:line="360" w:lineRule="auto"/>
        <w:jc w:val="both"/>
        <w:rPr>
          <w:color w:val="auto"/>
          <w:sz w:val="28"/>
          <w:szCs w:val="28"/>
        </w:rPr>
      </w:pPr>
    </w:p>
    <w:p w:rsidR="006E2819" w:rsidRPr="002B1AB7" w:rsidRDefault="00521C2C" w:rsidP="00521C2C">
      <w:pPr>
        <w:pStyle w:val="Default"/>
        <w:spacing w:line="360" w:lineRule="auto"/>
        <w:jc w:val="both"/>
        <w:rPr>
          <w:rFonts w:cstheme="minorBidi"/>
          <w:color w:val="auto"/>
          <w:sz w:val="28"/>
          <w:szCs w:val="28"/>
        </w:rPr>
      </w:pPr>
      <w:r w:rsidRPr="002B1AB7">
        <w:rPr>
          <w:color w:val="auto"/>
          <w:sz w:val="28"/>
          <w:szCs w:val="28"/>
        </w:rPr>
        <w:t xml:space="preserve">    </w:t>
      </w:r>
      <w:r w:rsidR="006E2819" w:rsidRPr="002B1AB7">
        <w:rPr>
          <w:rFonts w:cstheme="minorBidi"/>
          <w:color w:val="auto"/>
          <w:sz w:val="28"/>
          <w:szCs w:val="28"/>
        </w:rPr>
        <w:t xml:space="preserve">A adoção dos resultados do Censo Agropecuário 2006, em substituição ao Censo Agropecuário 1995-1996, permitiu a atualização das estruturas da agropecuária do país. </w:t>
      </w:r>
    </w:p>
    <w:p w:rsidR="00521C2C" w:rsidRPr="002B1AB7" w:rsidRDefault="00521C2C" w:rsidP="00521C2C">
      <w:pPr>
        <w:pStyle w:val="Default"/>
        <w:spacing w:line="360" w:lineRule="auto"/>
        <w:jc w:val="both"/>
        <w:rPr>
          <w:rFonts w:cstheme="minorBidi"/>
          <w:color w:val="auto"/>
          <w:sz w:val="28"/>
          <w:szCs w:val="28"/>
        </w:rPr>
      </w:pPr>
    </w:p>
    <w:p w:rsidR="006E2819" w:rsidRPr="002B1AB7" w:rsidRDefault="00521C2C" w:rsidP="009507E1">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 xml:space="preserve">Diferentemente do ocorrido na série anterior, </w:t>
      </w:r>
      <w:proofErr w:type="gramStart"/>
      <w:r w:rsidR="006E2819" w:rsidRPr="002B1AB7">
        <w:rPr>
          <w:rFonts w:cstheme="minorBidi"/>
          <w:color w:val="auto"/>
          <w:sz w:val="28"/>
          <w:szCs w:val="28"/>
        </w:rPr>
        <w:t>a</w:t>
      </w:r>
      <w:proofErr w:type="gramEnd"/>
      <w:r w:rsidR="006E2819" w:rsidRPr="002B1AB7">
        <w:rPr>
          <w:rFonts w:cstheme="minorBidi"/>
          <w:color w:val="auto"/>
          <w:sz w:val="28"/>
          <w:szCs w:val="28"/>
        </w:rPr>
        <w:t xml:space="preserve"> leitura e a extrapolação do Censo Agropecuário 2006 foram realizadas de forma ascendente, por unidade da federação, sendo o resultado Brasil a soma das 26 unidades </w:t>
      </w:r>
      <w:r w:rsidR="006E2819" w:rsidRPr="002B1AB7">
        <w:rPr>
          <w:rFonts w:cstheme="minorBidi"/>
          <w:color w:val="auto"/>
          <w:sz w:val="28"/>
          <w:szCs w:val="28"/>
        </w:rPr>
        <w:lastRenderedPageBreak/>
        <w:t xml:space="preserve">federativas mais o Distrito federal. Portanto, as séries nacional e regional encontram-se plenamente integradas. </w:t>
      </w:r>
    </w:p>
    <w:p w:rsidR="00907908" w:rsidRPr="002B1AB7" w:rsidRDefault="00907908" w:rsidP="009507E1">
      <w:pPr>
        <w:pStyle w:val="Default"/>
        <w:spacing w:line="360" w:lineRule="auto"/>
        <w:jc w:val="both"/>
        <w:rPr>
          <w:rFonts w:cstheme="minorBidi"/>
          <w:color w:val="auto"/>
          <w:sz w:val="28"/>
          <w:szCs w:val="28"/>
        </w:rPr>
      </w:pPr>
    </w:p>
    <w:p w:rsidR="006E2819" w:rsidRPr="002B1AB7" w:rsidRDefault="00907908" w:rsidP="009507E1">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 xml:space="preserve">A Pesquisa de Orçamentos Familiares 2008/2009 foi incorporada na conta regional a fim de regionalizar a parcela de autoconstrução da atividade de Construção estimada pela conta nacional. Na série anterior, na </w:t>
      </w:r>
      <w:r w:rsidR="005B722B">
        <w:rPr>
          <w:rFonts w:cstheme="minorBidi"/>
          <w:color w:val="auto"/>
          <w:sz w:val="28"/>
          <w:szCs w:val="28"/>
        </w:rPr>
        <w:t>conta regional, a atividade de C</w:t>
      </w:r>
      <w:r w:rsidR="006E2819" w:rsidRPr="002B1AB7">
        <w:rPr>
          <w:rFonts w:cstheme="minorBidi"/>
          <w:color w:val="auto"/>
          <w:sz w:val="28"/>
          <w:szCs w:val="28"/>
        </w:rPr>
        <w:t xml:space="preserve">onstrução somente considerava as informações da PAIC e da Pesquisa Nacional por Amostra de Domicílio – PNAD. </w:t>
      </w:r>
    </w:p>
    <w:p w:rsidR="006661FC" w:rsidRPr="002B1AB7" w:rsidRDefault="006661FC" w:rsidP="009507E1">
      <w:pPr>
        <w:pStyle w:val="Default"/>
        <w:spacing w:line="360" w:lineRule="auto"/>
        <w:jc w:val="both"/>
        <w:rPr>
          <w:rFonts w:cstheme="minorBidi"/>
          <w:color w:val="auto"/>
          <w:sz w:val="28"/>
          <w:szCs w:val="28"/>
        </w:rPr>
      </w:pPr>
    </w:p>
    <w:p w:rsidR="006E2819" w:rsidRPr="002B1AB7" w:rsidRDefault="006661FC" w:rsidP="009507E1">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 xml:space="preserve">Na série referência 2002, as informações do Imposto de Renda Pessoa Jurídica foram introduzidas de forma a complementar o âmbito do sistema de contas. Na série referência 2010, houve também a incorporação das informações do Imposto de Renda Pessoa Física, especificamente para a atividade de cartório que se encontra incluída nos “Serviços jurídicos, de contabilidade e auditoria” compondo a atividade “Atividades profissionais, científicas e técnicas”. </w:t>
      </w:r>
    </w:p>
    <w:p w:rsidR="00907908" w:rsidRPr="002B1AB7" w:rsidRDefault="00907908" w:rsidP="009507E1">
      <w:pPr>
        <w:pStyle w:val="Default"/>
        <w:spacing w:line="360" w:lineRule="auto"/>
        <w:jc w:val="both"/>
        <w:rPr>
          <w:rFonts w:cstheme="minorBidi"/>
          <w:color w:val="auto"/>
          <w:sz w:val="28"/>
          <w:szCs w:val="28"/>
        </w:rPr>
      </w:pPr>
    </w:p>
    <w:p w:rsidR="006E2819" w:rsidRPr="002B1AB7" w:rsidRDefault="00907908" w:rsidP="009507E1">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 xml:space="preserve">Outro fator importante foi </w:t>
      </w:r>
      <w:proofErr w:type="gramStart"/>
      <w:r w:rsidR="006E2819" w:rsidRPr="002B1AB7">
        <w:rPr>
          <w:rFonts w:cstheme="minorBidi"/>
          <w:color w:val="auto"/>
          <w:sz w:val="28"/>
          <w:szCs w:val="28"/>
        </w:rPr>
        <w:t>a</w:t>
      </w:r>
      <w:proofErr w:type="gramEnd"/>
      <w:r w:rsidR="006E2819" w:rsidRPr="002B1AB7">
        <w:rPr>
          <w:rFonts w:cstheme="minorBidi"/>
          <w:color w:val="auto"/>
          <w:sz w:val="28"/>
          <w:szCs w:val="28"/>
        </w:rPr>
        <w:t xml:space="preserve"> introdução da base de dados da Secretaria de Gestão Pública, do Sistema Integrado de Administração de Recursos Humanos – SIAPE, para a regionalização da despesa de pessoal civil ativo de órgãos do Poder Executivo da esfera federal, juntamente com a base do Sistema Integrado de Administração Financeira - SIAFI, utilizada para a regionalização das despesas da esfera federal em geral. Na série 2002 somente a base do SIAFI era utilizada para regionalização de todos os órgãos da esfera federal. </w:t>
      </w:r>
    </w:p>
    <w:p w:rsidR="00907908" w:rsidRPr="002B1AB7" w:rsidRDefault="00907908" w:rsidP="009507E1">
      <w:pPr>
        <w:pStyle w:val="Default"/>
        <w:spacing w:line="360" w:lineRule="auto"/>
        <w:jc w:val="both"/>
        <w:rPr>
          <w:rFonts w:cstheme="minorBidi"/>
          <w:color w:val="auto"/>
          <w:sz w:val="28"/>
          <w:szCs w:val="28"/>
        </w:rPr>
      </w:pPr>
    </w:p>
    <w:p w:rsidR="006E2819" w:rsidRPr="002B1AB7" w:rsidRDefault="00907908" w:rsidP="009507E1">
      <w:pPr>
        <w:pStyle w:val="Default"/>
        <w:spacing w:line="360" w:lineRule="auto"/>
        <w:jc w:val="both"/>
        <w:rPr>
          <w:rFonts w:cstheme="minorBidi"/>
          <w:color w:val="auto"/>
          <w:sz w:val="28"/>
          <w:szCs w:val="28"/>
        </w:rPr>
      </w:pPr>
      <w:r w:rsidRPr="002B1AB7">
        <w:rPr>
          <w:rFonts w:cstheme="minorBidi"/>
          <w:color w:val="auto"/>
          <w:sz w:val="28"/>
          <w:szCs w:val="28"/>
        </w:rPr>
        <w:lastRenderedPageBreak/>
        <w:t xml:space="preserve">     </w:t>
      </w:r>
      <w:r w:rsidR="006E2819" w:rsidRPr="002B1AB7">
        <w:rPr>
          <w:rFonts w:cstheme="minorBidi"/>
          <w:color w:val="auto"/>
          <w:sz w:val="28"/>
          <w:szCs w:val="28"/>
        </w:rPr>
        <w:t xml:space="preserve">Dentre as alterações introduzidas pelo manual internacional de contas nacionais - SNA 2008, destaca-se a ampliação da fronteira da formação bruta de capital fixo - FBCF, que passou a considerar como produção todo o gasto com Pesquisa e Desenvolvimento - P&amp;D tendo como destino a FBCF. Em função desta mudança, a partir das estimativas das Contas Nacionais, possibilitou-se estimar a participação da atividade P&amp;D no total do Valor Adicionado - VA, separando-a em P&amp;D público e privado para o Brasil. No caso das Contas Regionais, a princípio, só será estimado o P&amp;D privado, o P&amp;D público será divulgado juntamente com a atividade de Administração, Educação, Saúde e P&amp;D Públicos, Defesa e Seguridade Social, em função da dificuldade da desagregação do P&amp;D Público do total da atividade. A regionalização da estimativa do P&amp;D privada da conta nacional utilizou informação da PINTEC de 2011. </w:t>
      </w:r>
    </w:p>
    <w:p w:rsidR="00907908" w:rsidRPr="002B1AB7" w:rsidRDefault="00907908" w:rsidP="009507E1">
      <w:pPr>
        <w:pStyle w:val="Default"/>
        <w:spacing w:line="360" w:lineRule="auto"/>
        <w:jc w:val="both"/>
        <w:rPr>
          <w:rFonts w:cstheme="minorBidi"/>
          <w:color w:val="auto"/>
          <w:sz w:val="28"/>
          <w:szCs w:val="28"/>
        </w:rPr>
      </w:pPr>
    </w:p>
    <w:p w:rsidR="006E2819" w:rsidRPr="002B1AB7" w:rsidRDefault="00907908" w:rsidP="00907908">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Outra alteração introduzida no Sistema de Contas Nacionais – referência 2010 foi o tratamento das sedes das empresas. Na série anterior as unidades unicamente a serviço da própria empresa não eram contabilizadas como unidade produtiva. Seus gastos eram rateados pelas unidades produtivas da empresa. O novo manual internacional, SNA 2008, recomenda que, quando possível, e no caso de impacto relevante, que essa unidade seja identificada e a ela seja imputada produção de serviços administrativos cujo destino é o consumo intermediário das demais unidades da empresa. Nesta série, referência 2010, este tratamento foi somente realizado para as empresas investiga</w:t>
      </w:r>
      <w:r w:rsidR="00A068C1" w:rsidRPr="002B1AB7">
        <w:rPr>
          <w:rFonts w:cstheme="minorBidi"/>
          <w:color w:val="auto"/>
          <w:sz w:val="28"/>
          <w:szCs w:val="28"/>
        </w:rPr>
        <w:t>das</w:t>
      </w:r>
      <w:r w:rsidR="006E2819" w:rsidRPr="002B1AB7">
        <w:rPr>
          <w:rFonts w:cstheme="minorBidi"/>
          <w:color w:val="auto"/>
          <w:sz w:val="28"/>
          <w:szCs w:val="28"/>
        </w:rPr>
        <w:t xml:space="preserve"> pela PIA, uma vez que somente esta pesquisa levanta informações das unidades produtivas das empresas pertencentes ao seu âmbito. As sedes de empresas industriais foram classificadas na atividade (das contas nacionais) “6980 - Atividades jurídicas, contábeis, consultoria e </w:t>
      </w:r>
      <w:r w:rsidR="006E2819" w:rsidRPr="002B1AB7">
        <w:rPr>
          <w:rFonts w:cstheme="minorBidi"/>
          <w:color w:val="auto"/>
          <w:sz w:val="28"/>
          <w:szCs w:val="28"/>
        </w:rPr>
        <w:lastRenderedPageBreak/>
        <w:t xml:space="preserve">sedes de empresas”. O resultado deste tratamento foi </w:t>
      </w:r>
      <w:proofErr w:type="gramStart"/>
      <w:r w:rsidR="006E2819" w:rsidRPr="002B1AB7">
        <w:rPr>
          <w:rFonts w:cstheme="minorBidi"/>
          <w:color w:val="auto"/>
          <w:sz w:val="28"/>
          <w:szCs w:val="28"/>
        </w:rPr>
        <w:t>a</w:t>
      </w:r>
      <w:proofErr w:type="gramEnd"/>
      <w:r w:rsidR="006E2819" w:rsidRPr="002B1AB7">
        <w:rPr>
          <w:rFonts w:cstheme="minorBidi"/>
          <w:color w:val="auto"/>
          <w:sz w:val="28"/>
          <w:szCs w:val="28"/>
        </w:rPr>
        <w:t xml:space="preserve"> redução do valor adicionado bruto da indústria e o aumento correspondente nos serviços. </w:t>
      </w:r>
    </w:p>
    <w:p w:rsidR="00907908" w:rsidRPr="002B1AB7" w:rsidRDefault="00907908" w:rsidP="00907908">
      <w:pPr>
        <w:pStyle w:val="Default"/>
        <w:spacing w:line="360" w:lineRule="auto"/>
        <w:jc w:val="both"/>
        <w:rPr>
          <w:rFonts w:cstheme="minorBidi"/>
          <w:color w:val="auto"/>
          <w:sz w:val="28"/>
          <w:szCs w:val="28"/>
        </w:rPr>
      </w:pPr>
    </w:p>
    <w:p w:rsidR="006E2819" w:rsidRPr="002B1AB7" w:rsidRDefault="00907908" w:rsidP="009507E1">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 xml:space="preserve">Para a série referência 2010, a estimativa do aluguel de imóveis imputado, baseada em métodos estatísticos, passou a utilizar o método de calibração e não mais o método de imputação. O processo de imputação parte de regressões que usam, como variáveis explicativas, características do imóvel, de seu setor censitário e da pessoa de referência constante da PNAD. O novo método usa calibração, ou seja, ajusta os pesos amostrais da pesquisa a partir de informações sobre o universo pesquisado. </w:t>
      </w:r>
    </w:p>
    <w:p w:rsidR="009507E1" w:rsidRPr="002B1AB7" w:rsidRDefault="009507E1" w:rsidP="009507E1">
      <w:pPr>
        <w:pStyle w:val="Default"/>
        <w:spacing w:line="360" w:lineRule="auto"/>
        <w:jc w:val="both"/>
        <w:rPr>
          <w:rFonts w:cstheme="minorBidi"/>
          <w:color w:val="auto"/>
          <w:sz w:val="28"/>
          <w:szCs w:val="28"/>
        </w:rPr>
      </w:pPr>
    </w:p>
    <w:p w:rsidR="006E2819" w:rsidRPr="002B1AB7" w:rsidRDefault="00002214" w:rsidP="009507E1">
      <w:pPr>
        <w:pStyle w:val="Default"/>
        <w:spacing w:line="360" w:lineRule="auto"/>
        <w:jc w:val="both"/>
        <w:rPr>
          <w:rFonts w:cstheme="minorBidi"/>
          <w:color w:val="auto"/>
          <w:sz w:val="28"/>
          <w:szCs w:val="28"/>
        </w:rPr>
      </w:pPr>
      <w:r w:rsidRPr="002B1AB7">
        <w:rPr>
          <w:rFonts w:cstheme="minorBidi"/>
          <w:color w:val="auto"/>
          <w:sz w:val="28"/>
          <w:szCs w:val="28"/>
        </w:rPr>
        <w:t xml:space="preserve">     </w:t>
      </w:r>
      <w:r w:rsidR="006E2819" w:rsidRPr="002B1AB7">
        <w:rPr>
          <w:rFonts w:cstheme="minorBidi"/>
          <w:color w:val="auto"/>
          <w:sz w:val="28"/>
          <w:szCs w:val="28"/>
        </w:rPr>
        <w:t>Outra introdução metodológica da nova série, e que tem impacto nas contas regionais, diz</w:t>
      </w:r>
      <w:r w:rsidR="00CF59A0">
        <w:rPr>
          <w:rFonts w:cstheme="minorBidi"/>
          <w:color w:val="auto"/>
          <w:sz w:val="28"/>
          <w:szCs w:val="28"/>
        </w:rPr>
        <w:t xml:space="preserve"> respeito à reclassificação da c</w:t>
      </w:r>
      <w:r w:rsidR="006E2819" w:rsidRPr="002B1AB7">
        <w:rPr>
          <w:rFonts w:cstheme="minorBidi"/>
          <w:color w:val="auto"/>
          <w:sz w:val="28"/>
          <w:szCs w:val="28"/>
        </w:rPr>
        <w:t xml:space="preserve">ontribuição ao Programa de Integração Social (PIS), que passou a ser considerado como imposto sobre produto e não mais um imposto sobre a produção. O resultado desta reclassificação foi </w:t>
      </w:r>
      <w:proofErr w:type="gramStart"/>
      <w:r w:rsidR="006E2819" w:rsidRPr="002B1AB7">
        <w:rPr>
          <w:rFonts w:cstheme="minorBidi"/>
          <w:color w:val="auto"/>
          <w:sz w:val="28"/>
          <w:szCs w:val="28"/>
        </w:rPr>
        <w:t>a</w:t>
      </w:r>
      <w:proofErr w:type="gramEnd"/>
      <w:r w:rsidR="006E2819" w:rsidRPr="002B1AB7">
        <w:rPr>
          <w:rFonts w:cstheme="minorBidi"/>
          <w:color w:val="auto"/>
          <w:sz w:val="28"/>
          <w:szCs w:val="28"/>
        </w:rPr>
        <w:t xml:space="preserve"> redução do valor adicionado bruto e correspondente aumento do valor dos impostos líquido de subsídios sobre produto, entretanto não há impacto no total do Produto Interno Bruto. </w:t>
      </w:r>
    </w:p>
    <w:p w:rsidR="009804FC" w:rsidRPr="002B1AB7" w:rsidRDefault="009804FC" w:rsidP="009507E1">
      <w:pPr>
        <w:pStyle w:val="Default"/>
        <w:spacing w:line="360" w:lineRule="auto"/>
        <w:jc w:val="both"/>
        <w:rPr>
          <w:rFonts w:cstheme="minorBidi"/>
          <w:color w:val="auto"/>
          <w:sz w:val="28"/>
          <w:szCs w:val="28"/>
        </w:rPr>
      </w:pPr>
    </w:p>
    <w:p w:rsidR="00C803E6" w:rsidRPr="002B1AB7" w:rsidRDefault="00C803E6" w:rsidP="00A04BEF">
      <w:pPr>
        <w:spacing w:after="120" w:line="360" w:lineRule="auto"/>
        <w:ind w:firstLine="567"/>
        <w:rPr>
          <w:rFonts w:cs="Arial"/>
          <w:b/>
          <w:sz w:val="32"/>
          <w:szCs w:val="32"/>
        </w:rPr>
      </w:pPr>
    </w:p>
    <w:p w:rsidR="006B5821" w:rsidRPr="002B1AB7" w:rsidRDefault="006B5821" w:rsidP="00A04BEF">
      <w:pPr>
        <w:spacing w:after="120" w:line="360" w:lineRule="auto"/>
        <w:ind w:firstLine="567"/>
        <w:rPr>
          <w:rFonts w:cs="Arial"/>
          <w:b/>
          <w:sz w:val="32"/>
          <w:szCs w:val="32"/>
        </w:rPr>
      </w:pPr>
      <w:r w:rsidRPr="002B1AB7">
        <w:rPr>
          <w:rFonts w:cs="Arial"/>
          <w:b/>
          <w:sz w:val="32"/>
          <w:szCs w:val="32"/>
        </w:rPr>
        <w:t>Ec</w:t>
      </w:r>
      <w:r w:rsidR="00284381" w:rsidRPr="002B1AB7">
        <w:rPr>
          <w:rFonts w:cs="Arial"/>
          <w:b/>
          <w:sz w:val="32"/>
          <w:szCs w:val="32"/>
        </w:rPr>
        <w:t>onomia Brasileira no ano de 2013</w:t>
      </w:r>
    </w:p>
    <w:p w:rsidR="00812044" w:rsidRPr="002B1AB7" w:rsidRDefault="007275D3" w:rsidP="00812044">
      <w:pPr>
        <w:spacing w:after="120" w:line="360" w:lineRule="auto"/>
        <w:ind w:firstLine="567"/>
        <w:jc w:val="both"/>
        <w:rPr>
          <w:rFonts w:cs="Arial"/>
          <w:sz w:val="28"/>
          <w:szCs w:val="28"/>
        </w:rPr>
      </w:pPr>
      <w:r w:rsidRPr="002B1AB7">
        <w:rPr>
          <w:rFonts w:cs="Arial"/>
          <w:sz w:val="28"/>
          <w:szCs w:val="28"/>
        </w:rPr>
        <w:t xml:space="preserve">O PIB Brasileiro representou </w:t>
      </w:r>
      <w:r w:rsidR="00812044" w:rsidRPr="002B1AB7">
        <w:rPr>
          <w:rFonts w:cs="Arial"/>
          <w:sz w:val="28"/>
          <w:szCs w:val="28"/>
        </w:rPr>
        <w:t xml:space="preserve">R$ 5,3 trilhões </w:t>
      </w:r>
      <w:r w:rsidR="003601C8" w:rsidRPr="002B1AB7">
        <w:rPr>
          <w:rFonts w:cs="Arial"/>
          <w:sz w:val="28"/>
          <w:szCs w:val="28"/>
        </w:rPr>
        <w:t>no ano de</w:t>
      </w:r>
      <w:r w:rsidR="00812044" w:rsidRPr="002B1AB7">
        <w:rPr>
          <w:rFonts w:cs="Arial"/>
          <w:sz w:val="28"/>
          <w:szCs w:val="28"/>
        </w:rPr>
        <w:t xml:space="preserve"> 2013, em valores correntes.</w:t>
      </w:r>
    </w:p>
    <w:p w:rsidR="00C3119A" w:rsidRPr="002B1AB7" w:rsidRDefault="006B5821" w:rsidP="00A04BEF">
      <w:pPr>
        <w:spacing w:after="120" w:line="360" w:lineRule="auto"/>
        <w:ind w:firstLine="567"/>
        <w:jc w:val="both"/>
        <w:rPr>
          <w:rFonts w:cs="Arial"/>
          <w:sz w:val="28"/>
          <w:szCs w:val="28"/>
        </w:rPr>
      </w:pPr>
      <w:r w:rsidRPr="002B1AB7">
        <w:rPr>
          <w:rFonts w:cs="Arial"/>
          <w:sz w:val="28"/>
          <w:szCs w:val="28"/>
        </w:rPr>
        <w:t>A economia b</w:t>
      </w:r>
      <w:r w:rsidR="001A2FBB" w:rsidRPr="002B1AB7">
        <w:rPr>
          <w:rFonts w:cs="Arial"/>
          <w:sz w:val="28"/>
          <w:szCs w:val="28"/>
        </w:rPr>
        <w:t>rasileira cresceu</w:t>
      </w:r>
      <w:r w:rsidR="00C3119A" w:rsidRPr="002B1AB7">
        <w:rPr>
          <w:rFonts w:cs="Arial"/>
          <w:sz w:val="28"/>
          <w:szCs w:val="28"/>
        </w:rPr>
        <w:t xml:space="preserve"> </w:t>
      </w:r>
      <w:r w:rsidR="00C65762" w:rsidRPr="002B1AB7">
        <w:rPr>
          <w:rFonts w:cs="Arial"/>
          <w:sz w:val="28"/>
          <w:szCs w:val="28"/>
        </w:rPr>
        <w:t>3,0</w:t>
      </w:r>
      <w:r w:rsidR="00C3119A" w:rsidRPr="002B1AB7">
        <w:rPr>
          <w:rFonts w:cs="Arial"/>
          <w:sz w:val="28"/>
          <w:szCs w:val="28"/>
        </w:rPr>
        <w:t>% em 201</w:t>
      </w:r>
      <w:r w:rsidR="00C65762" w:rsidRPr="002B1AB7">
        <w:rPr>
          <w:rFonts w:cs="Arial"/>
          <w:sz w:val="28"/>
          <w:szCs w:val="28"/>
        </w:rPr>
        <w:t>3</w:t>
      </w:r>
      <w:r w:rsidR="00C3119A" w:rsidRPr="002B1AB7">
        <w:rPr>
          <w:rFonts w:cs="Arial"/>
          <w:sz w:val="28"/>
          <w:szCs w:val="28"/>
        </w:rPr>
        <w:t xml:space="preserve"> em relação ao ano anterior</w:t>
      </w:r>
      <w:r w:rsidR="00812044" w:rsidRPr="002B1AB7">
        <w:rPr>
          <w:rFonts w:cs="Arial"/>
          <w:sz w:val="28"/>
          <w:szCs w:val="28"/>
        </w:rPr>
        <w:t xml:space="preserve"> </w:t>
      </w:r>
      <w:r w:rsidR="00F05176" w:rsidRPr="002B1AB7">
        <w:rPr>
          <w:rFonts w:cs="Arial"/>
          <w:sz w:val="28"/>
          <w:szCs w:val="28"/>
        </w:rPr>
        <w:t>(1,9%)</w:t>
      </w:r>
      <w:r w:rsidRPr="002B1AB7">
        <w:rPr>
          <w:rFonts w:cs="Arial"/>
          <w:sz w:val="28"/>
          <w:szCs w:val="28"/>
        </w:rPr>
        <w:t>.</w:t>
      </w:r>
      <w:r w:rsidR="00C3119A" w:rsidRPr="002B1AB7">
        <w:rPr>
          <w:rFonts w:cs="Arial"/>
          <w:sz w:val="28"/>
          <w:szCs w:val="28"/>
        </w:rPr>
        <w:t xml:space="preserve"> </w:t>
      </w:r>
      <w:r w:rsidRPr="002B1AB7">
        <w:rPr>
          <w:rFonts w:cs="Arial"/>
          <w:sz w:val="28"/>
          <w:szCs w:val="28"/>
        </w:rPr>
        <w:t xml:space="preserve"> </w:t>
      </w:r>
      <w:r w:rsidR="00C3119A" w:rsidRPr="002B1AB7">
        <w:rPr>
          <w:rFonts w:cs="Arial"/>
          <w:sz w:val="28"/>
          <w:szCs w:val="28"/>
        </w:rPr>
        <w:t>O PIB per capita alcançou</w:t>
      </w:r>
      <w:r w:rsidR="003833CF" w:rsidRPr="002B1AB7">
        <w:rPr>
          <w:rFonts w:cs="Arial"/>
          <w:sz w:val="28"/>
          <w:szCs w:val="28"/>
        </w:rPr>
        <w:t xml:space="preserve"> R$</w:t>
      </w:r>
      <w:r w:rsidR="009D457B">
        <w:rPr>
          <w:rFonts w:cs="Arial"/>
          <w:sz w:val="28"/>
          <w:szCs w:val="28"/>
        </w:rPr>
        <w:t xml:space="preserve"> </w:t>
      </w:r>
      <w:r w:rsidR="001A2FBB" w:rsidRPr="002B1AB7">
        <w:rPr>
          <w:rFonts w:cs="Arial"/>
          <w:sz w:val="28"/>
          <w:szCs w:val="28"/>
        </w:rPr>
        <w:t>26.445,72</w:t>
      </w:r>
      <w:r w:rsidR="003833CF" w:rsidRPr="002B1AB7">
        <w:rPr>
          <w:rFonts w:cs="Arial"/>
          <w:sz w:val="28"/>
          <w:szCs w:val="28"/>
        </w:rPr>
        <w:t xml:space="preserve"> em relação a 201</w:t>
      </w:r>
      <w:r w:rsidR="001A2FBB" w:rsidRPr="002B1AB7">
        <w:rPr>
          <w:rFonts w:cs="Arial"/>
          <w:sz w:val="28"/>
          <w:szCs w:val="28"/>
        </w:rPr>
        <w:t>2</w:t>
      </w:r>
      <w:r w:rsidR="00F05176" w:rsidRPr="002B1AB7">
        <w:rPr>
          <w:rFonts w:cs="Arial"/>
          <w:sz w:val="28"/>
          <w:szCs w:val="28"/>
        </w:rPr>
        <w:t xml:space="preserve"> </w:t>
      </w:r>
      <w:r w:rsidR="001A2FBB" w:rsidRPr="002B1AB7">
        <w:rPr>
          <w:rFonts w:cs="Arial"/>
          <w:sz w:val="28"/>
          <w:szCs w:val="28"/>
        </w:rPr>
        <w:t>(</w:t>
      </w:r>
      <w:r w:rsidR="00812044" w:rsidRPr="002B1AB7">
        <w:rPr>
          <w:rFonts w:cs="Arial"/>
          <w:sz w:val="28"/>
          <w:szCs w:val="28"/>
        </w:rPr>
        <w:t xml:space="preserve">R$ </w:t>
      </w:r>
      <w:r w:rsidR="001A2FBB" w:rsidRPr="002B1AB7">
        <w:rPr>
          <w:rFonts w:cs="Arial"/>
          <w:sz w:val="28"/>
          <w:szCs w:val="28"/>
        </w:rPr>
        <w:t>24.779,53)</w:t>
      </w:r>
      <w:r w:rsidR="003833CF" w:rsidRPr="002B1AB7">
        <w:rPr>
          <w:rFonts w:cs="Arial"/>
          <w:sz w:val="28"/>
          <w:szCs w:val="28"/>
        </w:rPr>
        <w:t>.</w:t>
      </w:r>
    </w:p>
    <w:p w:rsidR="006B5821" w:rsidRPr="002B1AB7" w:rsidRDefault="00A60291" w:rsidP="00A04BEF">
      <w:pPr>
        <w:spacing w:after="120" w:line="360" w:lineRule="auto"/>
        <w:ind w:firstLine="567"/>
        <w:jc w:val="both"/>
        <w:rPr>
          <w:rFonts w:cs="Arial"/>
          <w:sz w:val="28"/>
          <w:szCs w:val="28"/>
        </w:rPr>
      </w:pPr>
      <w:r w:rsidRPr="002B1AB7">
        <w:rPr>
          <w:rFonts w:cs="Arial"/>
          <w:sz w:val="28"/>
          <w:szCs w:val="28"/>
        </w:rPr>
        <w:lastRenderedPageBreak/>
        <w:t>Por atividade</w:t>
      </w:r>
      <w:r w:rsidR="003F17B1">
        <w:rPr>
          <w:rFonts w:cs="Arial"/>
          <w:sz w:val="28"/>
          <w:szCs w:val="28"/>
        </w:rPr>
        <w:t>,</w:t>
      </w:r>
      <w:r w:rsidRPr="002B1AB7">
        <w:rPr>
          <w:rFonts w:cs="Arial"/>
          <w:sz w:val="28"/>
          <w:szCs w:val="28"/>
        </w:rPr>
        <w:t xml:space="preserve"> houve </w:t>
      </w:r>
      <w:r w:rsidR="005D2F9F" w:rsidRPr="002B1AB7">
        <w:rPr>
          <w:rFonts w:cs="Arial"/>
          <w:sz w:val="28"/>
          <w:szCs w:val="28"/>
        </w:rPr>
        <w:t>aumento</w:t>
      </w:r>
      <w:r w:rsidRPr="002B1AB7">
        <w:rPr>
          <w:rFonts w:cs="Arial"/>
          <w:sz w:val="28"/>
          <w:szCs w:val="28"/>
        </w:rPr>
        <w:t xml:space="preserve"> de </w:t>
      </w:r>
      <w:r w:rsidR="005D2F9F" w:rsidRPr="002B1AB7">
        <w:rPr>
          <w:rFonts w:cs="Arial"/>
          <w:sz w:val="28"/>
          <w:szCs w:val="28"/>
        </w:rPr>
        <w:t>8,4</w:t>
      </w:r>
      <w:r w:rsidRPr="002B1AB7">
        <w:rPr>
          <w:rFonts w:cs="Arial"/>
          <w:sz w:val="28"/>
          <w:szCs w:val="28"/>
        </w:rPr>
        <w:t>% na Agropecuária</w:t>
      </w:r>
      <w:r w:rsidR="005D2F9F" w:rsidRPr="002B1AB7">
        <w:rPr>
          <w:rFonts w:cs="Arial"/>
          <w:sz w:val="28"/>
          <w:szCs w:val="28"/>
        </w:rPr>
        <w:t>,</w:t>
      </w:r>
      <w:r w:rsidRPr="002B1AB7">
        <w:rPr>
          <w:rFonts w:cs="Arial"/>
          <w:sz w:val="28"/>
          <w:szCs w:val="28"/>
        </w:rPr>
        <w:t xml:space="preserve"> de </w:t>
      </w:r>
      <w:r w:rsidR="005D2F9F" w:rsidRPr="002B1AB7">
        <w:rPr>
          <w:rFonts w:cs="Arial"/>
          <w:sz w:val="28"/>
          <w:szCs w:val="28"/>
        </w:rPr>
        <w:t>2,2</w:t>
      </w:r>
      <w:r w:rsidR="00E612C3" w:rsidRPr="002B1AB7">
        <w:rPr>
          <w:rFonts w:cs="Arial"/>
          <w:sz w:val="28"/>
          <w:szCs w:val="28"/>
        </w:rPr>
        <w:t xml:space="preserve">% na Indústria, </w:t>
      </w:r>
      <w:r w:rsidR="005D2F9F" w:rsidRPr="002B1AB7">
        <w:rPr>
          <w:rFonts w:cs="Arial"/>
          <w:sz w:val="28"/>
          <w:szCs w:val="28"/>
        </w:rPr>
        <w:t>e 2,8% nos</w:t>
      </w:r>
      <w:r w:rsidR="00E612C3" w:rsidRPr="002B1AB7">
        <w:rPr>
          <w:rFonts w:cs="Arial"/>
          <w:sz w:val="28"/>
          <w:szCs w:val="28"/>
        </w:rPr>
        <w:t xml:space="preserve"> S</w:t>
      </w:r>
      <w:r w:rsidRPr="002B1AB7">
        <w:rPr>
          <w:rFonts w:cs="Arial"/>
          <w:sz w:val="28"/>
          <w:szCs w:val="28"/>
        </w:rPr>
        <w:t>erviços</w:t>
      </w:r>
      <w:r w:rsidR="005D2F9F" w:rsidRPr="002B1AB7">
        <w:rPr>
          <w:rFonts w:cs="Arial"/>
          <w:sz w:val="28"/>
          <w:szCs w:val="28"/>
        </w:rPr>
        <w:t xml:space="preserve">. </w:t>
      </w:r>
    </w:p>
    <w:p w:rsidR="006B5821" w:rsidRPr="002B1AB7" w:rsidRDefault="006B5821" w:rsidP="00A04BEF">
      <w:pPr>
        <w:autoSpaceDE w:val="0"/>
        <w:autoSpaceDN w:val="0"/>
        <w:adjustRightInd w:val="0"/>
        <w:spacing w:after="120" w:line="360" w:lineRule="auto"/>
        <w:ind w:firstLine="567"/>
        <w:jc w:val="both"/>
        <w:rPr>
          <w:rFonts w:cs="Arial"/>
          <w:sz w:val="28"/>
          <w:szCs w:val="28"/>
        </w:rPr>
      </w:pPr>
    </w:p>
    <w:p w:rsidR="00694AEA" w:rsidRPr="002B1AB7" w:rsidRDefault="00694AEA" w:rsidP="00F73172">
      <w:pPr>
        <w:spacing w:after="120" w:line="360" w:lineRule="auto"/>
        <w:jc w:val="both"/>
        <w:rPr>
          <w:b/>
          <w:sz w:val="32"/>
          <w:szCs w:val="32"/>
        </w:rPr>
      </w:pPr>
      <w:r w:rsidRPr="002B1AB7">
        <w:rPr>
          <w:b/>
          <w:sz w:val="32"/>
          <w:szCs w:val="32"/>
        </w:rPr>
        <w:t>Produto Interno Bruto Piauiense no ano de 2013</w:t>
      </w:r>
    </w:p>
    <w:p w:rsidR="009C584D" w:rsidRPr="002B1AB7" w:rsidRDefault="009C584D" w:rsidP="005706E4">
      <w:pPr>
        <w:spacing w:after="120" w:line="360" w:lineRule="auto"/>
        <w:ind w:firstLine="567"/>
        <w:jc w:val="both"/>
        <w:rPr>
          <w:sz w:val="28"/>
          <w:szCs w:val="28"/>
        </w:rPr>
      </w:pPr>
    </w:p>
    <w:p w:rsidR="00667EE5" w:rsidRPr="002B1AB7" w:rsidRDefault="00667EE5" w:rsidP="005706E4">
      <w:pPr>
        <w:spacing w:after="120" w:line="360" w:lineRule="auto"/>
        <w:ind w:firstLine="567"/>
        <w:jc w:val="both"/>
        <w:rPr>
          <w:sz w:val="28"/>
          <w:szCs w:val="28"/>
        </w:rPr>
      </w:pPr>
      <w:r w:rsidRPr="002B1AB7">
        <w:rPr>
          <w:sz w:val="28"/>
          <w:szCs w:val="28"/>
        </w:rPr>
        <w:t xml:space="preserve">A </w:t>
      </w:r>
      <w:r w:rsidR="00D44F43" w:rsidRPr="002B1AB7">
        <w:rPr>
          <w:sz w:val="28"/>
          <w:szCs w:val="28"/>
        </w:rPr>
        <w:t>F</w:t>
      </w:r>
      <w:r w:rsidRPr="002B1AB7">
        <w:rPr>
          <w:sz w:val="28"/>
          <w:szCs w:val="28"/>
        </w:rPr>
        <w:t xml:space="preserve">undação </w:t>
      </w:r>
      <w:r w:rsidR="00522988" w:rsidRPr="002B1AB7">
        <w:rPr>
          <w:sz w:val="28"/>
          <w:szCs w:val="28"/>
        </w:rPr>
        <w:t>Centro de Pesquisas Econômicas e</w:t>
      </w:r>
      <w:r w:rsidRPr="002B1AB7">
        <w:rPr>
          <w:sz w:val="28"/>
          <w:szCs w:val="28"/>
        </w:rPr>
        <w:t xml:space="preserve"> Sociais do Piauí – </w:t>
      </w:r>
      <w:r w:rsidR="00E154E0" w:rsidRPr="002B1AB7">
        <w:rPr>
          <w:sz w:val="28"/>
          <w:szCs w:val="28"/>
        </w:rPr>
        <w:t>F</w:t>
      </w:r>
      <w:r w:rsidRPr="002B1AB7">
        <w:rPr>
          <w:sz w:val="28"/>
          <w:szCs w:val="28"/>
        </w:rPr>
        <w:t xml:space="preserve">undação Cepro, apresenta os resultados do </w:t>
      </w:r>
      <w:r w:rsidR="002E2C47" w:rsidRPr="002B1AB7">
        <w:rPr>
          <w:sz w:val="28"/>
          <w:szCs w:val="28"/>
        </w:rPr>
        <w:t xml:space="preserve">Produto Interno Bruto - </w:t>
      </w:r>
      <w:r w:rsidRPr="002B1AB7">
        <w:rPr>
          <w:sz w:val="28"/>
          <w:szCs w:val="28"/>
        </w:rPr>
        <w:t>P</w:t>
      </w:r>
      <w:r w:rsidR="00D44F43" w:rsidRPr="002B1AB7">
        <w:rPr>
          <w:sz w:val="28"/>
          <w:szCs w:val="28"/>
        </w:rPr>
        <w:t>I</w:t>
      </w:r>
      <w:r w:rsidRPr="002B1AB7">
        <w:rPr>
          <w:sz w:val="28"/>
          <w:szCs w:val="28"/>
        </w:rPr>
        <w:t>B</w:t>
      </w:r>
      <w:r w:rsidR="00486902" w:rsidRPr="002B1AB7">
        <w:rPr>
          <w:sz w:val="28"/>
          <w:szCs w:val="28"/>
        </w:rPr>
        <w:t xml:space="preserve"> </w:t>
      </w:r>
      <w:r w:rsidR="00D44F43" w:rsidRPr="002B1AB7">
        <w:rPr>
          <w:sz w:val="28"/>
          <w:szCs w:val="28"/>
        </w:rPr>
        <w:t>para</w:t>
      </w:r>
      <w:r w:rsidR="00E154E0" w:rsidRPr="002B1AB7">
        <w:rPr>
          <w:sz w:val="28"/>
          <w:szCs w:val="28"/>
        </w:rPr>
        <w:t xml:space="preserve"> </w:t>
      </w:r>
      <w:r w:rsidR="00D44F43" w:rsidRPr="002B1AB7">
        <w:rPr>
          <w:sz w:val="28"/>
          <w:szCs w:val="28"/>
        </w:rPr>
        <w:t>o ano de 2013.</w:t>
      </w:r>
    </w:p>
    <w:p w:rsidR="00D44F43" w:rsidRPr="002B1AB7" w:rsidRDefault="00D44F43" w:rsidP="005706E4">
      <w:pPr>
        <w:spacing w:after="120" w:line="360" w:lineRule="auto"/>
        <w:ind w:firstLine="567"/>
        <w:jc w:val="both"/>
        <w:rPr>
          <w:sz w:val="28"/>
          <w:szCs w:val="28"/>
        </w:rPr>
      </w:pPr>
      <w:r w:rsidRPr="002B1AB7">
        <w:rPr>
          <w:sz w:val="28"/>
          <w:szCs w:val="28"/>
        </w:rPr>
        <w:t xml:space="preserve">O </w:t>
      </w:r>
      <w:r w:rsidR="002978F3" w:rsidRPr="002B1AB7">
        <w:rPr>
          <w:sz w:val="28"/>
          <w:szCs w:val="28"/>
        </w:rPr>
        <w:t>PIB</w:t>
      </w:r>
      <w:r w:rsidR="00EA4552" w:rsidRPr="002B1AB7">
        <w:rPr>
          <w:sz w:val="28"/>
          <w:szCs w:val="28"/>
        </w:rPr>
        <w:t xml:space="preserve"> do E</w:t>
      </w:r>
      <w:r w:rsidRPr="002B1AB7">
        <w:rPr>
          <w:sz w:val="28"/>
          <w:szCs w:val="28"/>
        </w:rPr>
        <w:t xml:space="preserve">stado do Piauí é um trabalho realizado em parceria e sob </w:t>
      </w:r>
      <w:r w:rsidR="00D7678C" w:rsidRPr="002B1AB7">
        <w:rPr>
          <w:sz w:val="28"/>
          <w:szCs w:val="28"/>
        </w:rPr>
        <w:t xml:space="preserve">a </w:t>
      </w:r>
      <w:r w:rsidRPr="002B1AB7">
        <w:rPr>
          <w:sz w:val="28"/>
          <w:szCs w:val="28"/>
        </w:rPr>
        <w:t>coordenação do IBGE, utilizando metodol</w:t>
      </w:r>
      <w:r w:rsidR="00EA4552" w:rsidRPr="002B1AB7">
        <w:rPr>
          <w:sz w:val="28"/>
          <w:szCs w:val="28"/>
        </w:rPr>
        <w:t>ogia padronizada para todos os estados</w:t>
      </w:r>
      <w:r w:rsidR="001621C5" w:rsidRPr="002B1AB7">
        <w:rPr>
          <w:sz w:val="28"/>
          <w:szCs w:val="28"/>
        </w:rPr>
        <w:t xml:space="preserve"> </w:t>
      </w:r>
      <w:r w:rsidR="00D7678C" w:rsidRPr="002B1AB7">
        <w:rPr>
          <w:sz w:val="28"/>
          <w:szCs w:val="28"/>
        </w:rPr>
        <w:t>brasileiro</w:t>
      </w:r>
      <w:r w:rsidR="000D0D93" w:rsidRPr="002B1AB7">
        <w:rPr>
          <w:sz w:val="28"/>
          <w:szCs w:val="28"/>
        </w:rPr>
        <w:t>s</w:t>
      </w:r>
      <w:r w:rsidR="00E154E0" w:rsidRPr="002B1AB7">
        <w:rPr>
          <w:sz w:val="28"/>
          <w:szCs w:val="28"/>
        </w:rPr>
        <w:t xml:space="preserve"> </w:t>
      </w:r>
      <w:r w:rsidRPr="002B1AB7">
        <w:rPr>
          <w:sz w:val="28"/>
          <w:szCs w:val="28"/>
        </w:rPr>
        <w:t>e compatível com o Sistema de Contas Nacionais do Brasil</w:t>
      </w:r>
      <w:r w:rsidR="00E154E0" w:rsidRPr="002B1AB7">
        <w:rPr>
          <w:sz w:val="28"/>
          <w:szCs w:val="28"/>
        </w:rPr>
        <w:t xml:space="preserve">, </w:t>
      </w:r>
      <w:r w:rsidR="00C331B7" w:rsidRPr="002B1AB7">
        <w:rPr>
          <w:sz w:val="28"/>
          <w:szCs w:val="28"/>
        </w:rPr>
        <w:t xml:space="preserve">implementado pelo IBGE a partir das recomendações </w:t>
      </w:r>
      <w:r w:rsidR="009F2F82" w:rsidRPr="002B1AB7">
        <w:rPr>
          <w:sz w:val="28"/>
          <w:szCs w:val="28"/>
        </w:rPr>
        <w:t xml:space="preserve">e modificações do manual internacional de Contas Nacionais das Nações Unidas, </w:t>
      </w:r>
      <w:r w:rsidR="00B41DF9" w:rsidRPr="002B1AB7">
        <w:rPr>
          <w:sz w:val="28"/>
          <w:szCs w:val="28"/>
        </w:rPr>
        <w:t xml:space="preserve">System </w:t>
      </w:r>
      <w:proofErr w:type="spellStart"/>
      <w:r w:rsidR="00B41DF9" w:rsidRPr="002B1AB7">
        <w:rPr>
          <w:sz w:val="28"/>
          <w:szCs w:val="28"/>
        </w:rPr>
        <w:t>of</w:t>
      </w:r>
      <w:proofErr w:type="spellEnd"/>
      <w:r w:rsidR="00B41DF9" w:rsidRPr="002B1AB7">
        <w:rPr>
          <w:sz w:val="28"/>
          <w:szCs w:val="28"/>
        </w:rPr>
        <w:t xml:space="preserve"> </w:t>
      </w:r>
      <w:proofErr w:type="spellStart"/>
      <w:r w:rsidR="00B41DF9" w:rsidRPr="002B1AB7">
        <w:rPr>
          <w:sz w:val="28"/>
          <w:szCs w:val="28"/>
        </w:rPr>
        <w:t>National</w:t>
      </w:r>
      <w:proofErr w:type="spellEnd"/>
      <w:proofErr w:type="gramStart"/>
      <w:r w:rsidR="00B41DF9" w:rsidRPr="002B1AB7">
        <w:rPr>
          <w:sz w:val="28"/>
          <w:szCs w:val="28"/>
        </w:rPr>
        <w:t xml:space="preserve">  </w:t>
      </w:r>
      <w:proofErr w:type="spellStart"/>
      <w:proofErr w:type="gramEnd"/>
      <w:r w:rsidR="00B41DF9" w:rsidRPr="002B1AB7">
        <w:rPr>
          <w:sz w:val="28"/>
          <w:szCs w:val="28"/>
        </w:rPr>
        <w:t>Accounts</w:t>
      </w:r>
      <w:proofErr w:type="spellEnd"/>
      <w:r w:rsidR="00B41DF9" w:rsidRPr="002B1AB7">
        <w:rPr>
          <w:sz w:val="28"/>
          <w:szCs w:val="28"/>
        </w:rPr>
        <w:t xml:space="preserve">   SNA 2008, em substituição à versão anterior de 1993. </w:t>
      </w:r>
    </w:p>
    <w:p w:rsidR="00BD097A" w:rsidRPr="002B1AB7" w:rsidRDefault="00D33EEF" w:rsidP="00E15910">
      <w:pPr>
        <w:spacing w:after="120" w:line="360" w:lineRule="auto"/>
        <w:ind w:firstLine="567"/>
        <w:jc w:val="both"/>
        <w:rPr>
          <w:sz w:val="28"/>
          <w:szCs w:val="28"/>
        </w:rPr>
      </w:pPr>
      <w:r w:rsidRPr="002B1AB7">
        <w:rPr>
          <w:sz w:val="28"/>
          <w:szCs w:val="28"/>
        </w:rPr>
        <w:t>O PIB representa a soma, em valores monetários, de todos os bens e serviços produzidos, e tem como principal</w:t>
      </w:r>
      <w:r w:rsidR="00054E0E" w:rsidRPr="002B1AB7">
        <w:rPr>
          <w:sz w:val="28"/>
          <w:szCs w:val="28"/>
        </w:rPr>
        <w:t xml:space="preserve"> objetivo mensurar a atividade econômica, numa determinada região e durante um período </w:t>
      </w:r>
      <w:r w:rsidR="000018D9" w:rsidRPr="002B1AB7">
        <w:rPr>
          <w:sz w:val="28"/>
          <w:szCs w:val="28"/>
        </w:rPr>
        <w:t>especifico</w:t>
      </w:r>
      <w:r w:rsidR="00054E0E" w:rsidRPr="002B1AB7">
        <w:rPr>
          <w:sz w:val="28"/>
          <w:szCs w:val="28"/>
        </w:rPr>
        <w:t xml:space="preserve"> de tempo.</w:t>
      </w:r>
    </w:p>
    <w:p w:rsidR="00DD485C" w:rsidRPr="002B1AB7" w:rsidRDefault="00D94E2E" w:rsidP="00E15910">
      <w:pPr>
        <w:spacing w:after="120" w:line="360" w:lineRule="auto"/>
        <w:rPr>
          <w:b/>
          <w:sz w:val="32"/>
          <w:szCs w:val="32"/>
        </w:rPr>
      </w:pPr>
      <w:r w:rsidRPr="002B1AB7">
        <w:rPr>
          <w:b/>
          <w:sz w:val="32"/>
          <w:szCs w:val="32"/>
        </w:rPr>
        <w:t>Análise dos resultados da Economia Piauiense em 2013</w:t>
      </w:r>
    </w:p>
    <w:p w:rsidR="00A63737" w:rsidRPr="002B1AB7" w:rsidRDefault="00DD485C" w:rsidP="00A63737">
      <w:pPr>
        <w:spacing w:after="120" w:line="360" w:lineRule="auto"/>
        <w:ind w:firstLine="567"/>
        <w:jc w:val="both"/>
        <w:rPr>
          <w:sz w:val="28"/>
          <w:szCs w:val="28"/>
        </w:rPr>
      </w:pPr>
      <w:r w:rsidRPr="002B1AB7">
        <w:rPr>
          <w:sz w:val="28"/>
          <w:szCs w:val="28"/>
        </w:rPr>
        <w:t>O</w:t>
      </w:r>
      <w:r w:rsidR="002C2573" w:rsidRPr="002B1AB7">
        <w:rPr>
          <w:sz w:val="28"/>
          <w:szCs w:val="28"/>
        </w:rPr>
        <w:t xml:space="preserve"> </w:t>
      </w:r>
      <w:r w:rsidRPr="002B1AB7">
        <w:rPr>
          <w:sz w:val="28"/>
          <w:szCs w:val="28"/>
        </w:rPr>
        <w:t xml:space="preserve">Produto Interno Bruto </w:t>
      </w:r>
      <w:r w:rsidR="00194656" w:rsidRPr="002B1AB7">
        <w:rPr>
          <w:sz w:val="28"/>
          <w:szCs w:val="28"/>
        </w:rPr>
        <w:t>do Estado do Piauí em 2013</w:t>
      </w:r>
      <w:r w:rsidR="003D5102" w:rsidRPr="002B1AB7">
        <w:rPr>
          <w:sz w:val="28"/>
          <w:szCs w:val="28"/>
        </w:rPr>
        <w:t xml:space="preserve"> apresentou</w:t>
      </w:r>
      <w:r w:rsidR="002C2573" w:rsidRPr="002B1AB7">
        <w:rPr>
          <w:sz w:val="28"/>
          <w:szCs w:val="28"/>
        </w:rPr>
        <w:t xml:space="preserve"> </w:t>
      </w:r>
      <w:r w:rsidR="00194656" w:rsidRPr="002B1AB7">
        <w:rPr>
          <w:sz w:val="28"/>
          <w:szCs w:val="28"/>
        </w:rPr>
        <w:t xml:space="preserve">expansão </w:t>
      </w:r>
      <w:r w:rsidR="00B77F1A" w:rsidRPr="002B1AB7">
        <w:rPr>
          <w:sz w:val="28"/>
          <w:szCs w:val="28"/>
        </w:rPr>
        <w:t>de 2,</w:t>
      </w:r>
      <w:r w:rsidRPr="002B1AB7">
        <w:rPr>
          <w:sz w:val="28"/>
          <w:szCs w:val="28"/>
        </w:rPr>
        <w:t>4</w:t>
      </w:r>
      <w:r w:rsidR="002C2573" w:rsidRPr="002B1AB7">
        <w:rPr>
          <w:sz w:val="28"/>
          <w:szCs w:val="28"/>
        </w:rPr>
        <w:t xml:space="preserve">% em relação ao ano </w:t>
      </w:r>
      <w:r w:rsidR="003D5102" w:rsidRPr="002B1AB7">
        <w:rPr>
          <w:sz w:val="28"/>
          <w:szCs w:val="28"/>
        </w:rPr>
        <w:t>anterior</w:t>
      </w:r>
      <w:r w:rsidR="00A63737" w:rsidRPr="002B1AB7">
        <w:rPr>
          <w:sz w:val="28"/>
          <w:szCs w:val="28"/>
        </w:rPr>
        <w:t xml:space="preserve"> (Gráfico 01)</w:t>
      </w:r>
      <w:r w:rsidR="003D5102" w:rsidRPr="002B1AB7">
        <w:rPr>
          <w:sz w:val="28"/>
          <w:szCs w:val="28"/>
        </w:rPr>
        <w:t>.</w:t>
      </w:r>
      <w:r w:rsidR="00AB2635" w:rsidRPr="002B1AB7">
        <w:rPr>
          <w:sz w:val="28"/>
          <w:szCs w:val="28"/>
        </w:rPr>
        <w:t xml:space="preserve"> </w:t>
      </w:r>
      <w:r w:rsidR="002C2573" w:rsidRPr="002B1AB7">
        <w:rPr>
          <w:sz w:val="28"/>
          <w:szCs w:val="28"/>
        </w:rPr>
        <w:t>Em valores correntes, o</w:t>
      </w:r>
      <w:r w:rsidR="00194656" w:rsidRPr="002B1AB7">
        <w:rPr>
          <w:sz w:val="28"/>
          <w:szCs w:val="28"/>
        </w:rPr>
        <w:t xml:space="preserve"> result</w:t>
      </w:r>
      <w:r w:rsidR="001D3F23" w:rsidRPr="002B1AB7">
        <w:rPr>
          <w:sz w:val="28"/>
          <w:szCs w:val="28"/>
        </w:rPr>
        <w:t>ado alcançado foi de R$</w:t>
      </w:r>
      <w:r w:rsidR="00F551FB" w:rsidRPr="002B1AB7">
        <w:rPr>
          <w:sz w:val="28"/>
          <w:szCs w:val="28"/>
        </w:rPr>
        <w:t xml:space="preserve"> </w:t>
      </w:r>
      <w:r w:rsidRPr="002B1AB7">
        <w:rPr>
          <w:sz w:val="28"/>
          <w:szCs w:val="28"/>
        </w:rPr>
        <w:t>31.240</w:t>
      </w:r>
      <w:r w:rsidR="001D3F23" w:rsidRPr="002B1AB7">
        <w:rPr>
          <w:sz w:val="28"/>
          <w:szCs w:val="28"/>
        </w:rPr>
        <w:t xml:space="preserve"> m</w:t>
      </w:r>
      <w:r w:rsidR="002C2573" w:rsidRPr="002B1AB7">
        <w:rPr>
          <w:sz w:val="28"/>
          <w:szCs w:val="28"/>
        </w:rPr>
        <w:t>ilhões.</w:t>
      </w:r>
      <w:r w:rsidR="005E0F59" w:rsidRPr="002B1AB7">
        <w:rPr>
          <w:sz w:val="28"/>
          <w:szCs w:val="28"/>
        </w:rPr>
        <w:t xml:space="preserve"> </w:t>
      </w:r>
      <w:r w:rsidR="002C2573" w:rsidRPr="002B1AB7">
        <w:rPr>
          <w:sz w:val="28"/>
          <w:szCs w:val="28"/>
        </w:rPr>
        <w:t xml:space="preserve">Depois de obter </w:t>
      </w:r>
      <w:r w:rsidR="00D62442" w:rsidRPr="002B1AB7">
        <w:rPr>
          <w:sz w:val="28"/>
          <w:szCs w:val="28"/>
        </w:rPr>
        <w:t xml:space="preserve">uma </w:t>
      </w:r>
      <w:r w:rsidR="002C2573" w:rsidRPr="002B1AB7">
        <w:rPr>
          <w:sz w:val="28"/>
          <w:szCs w:val="28"/>
        </w:rPr>
        <w:t xml:space="preserve">taxa de crescimento de </w:t>
      </w:r>
      <w:r w:rsidRPr="002B1AB7">
        <w:rPr>
          <w:sz w:val="28"/>
          <w:szCs w:val="28"/>
        </w:rPr>
        <w:t>5</w:t>
      </w:r>
      <w:r w:rsidR="00B77F1A" w:rsidRPr="002B1AB7">
        <w:rPr>
          <w:sz w:val="28"/>
          <w:szCs w:val="28"/>
        </w:rPr>
        <w:t>,3% em 2012</w:t>
      </w:r>
      <w:r w:rsidR="002C2573" w:rsidRPr="002B1AB7">
        <w:rPr>
          <w:sz w:val="28"/>
          <w:szCs w:val="28"/>
        </w:rPr>
        <w:t xml:space="preserve">, o Piauí continua </w:t>
      </w:r>
      <w:r w:rsidR="00D62442" w:rsidRPr="002B1AB7">
        <w:rPr>
          <w:sz w:val="28"/>
          <w:szCs w:val="28"/>
        </w:rPr>
        <w:t>crescendo</w:t>
      </w:r>
      <w:r w:rsidR="002C2573" w:rsidRPr="002B1AB7">
        <w:rPr>
          <w:sz w:val="28"/>
          <w:szCs w:val="28"/>
        </w:rPr>
        <w:t xml:space="preserve"> só que o </w:t>
      </w:r>
      <w:r w:rsidR="003D5102" w:rsidRPr="002B1AB7">
        <w:rPr>
          <w:sz w:val="28"/>
          <w:szCs w:val="28"/>
        </w:rPr>
        <w:t>ritmo</w:t>
      </w:r>
      <w:r w:rsidR="002C2573" w:rsidRPr="002B1AB7">
        <w:rPr>
          <w:sz w:val="28"/>
          <w:szCs w:val="28"/>
        </w:rPr>
        <w:t xml:space="preserve"> de crescimento sofreu uma </w:t>
      </w:r>
      <w:r w:rsidR="000756F1" w:rsidRPr="002B1AB7">
        <w:rPr>
          <w:sz w:val="28"/>
          <w:szCs w:val="28"/>
        </w:rPr>
        <w:t>diminuição</w:t>
      </w:r>
      <w:r w:rsidR="00B173A9" w:rsidRPr="002B1AB7">
        <w:rPr>
          <w:sz w:val="28"/>
          <w:szCs w:val="28"/>
        </w:rPr>
        <w:t xml:space="preserve"> </w:t>
      </w:r>
      <w:r w:rsidR="002C2573" w:rsidRPr="002B1AB7">
        <w:rPr>
          <w:sz w:val="28"/>
          <w:szCs w:val="28"/>
        </w:rPr>
        <w:t>decorrente</w:t>
      </w:r>
      <w:r w:rsidR="00911D78" w:rsidRPr="002B1AB7">
        <w:rPr>
          <w:sz w:val="28"/>
          <w:szCs w:val="28"/>
        </w:rPr>
        <w:t>,</w:t>
      </w:r>
      <w:r w:rsidR="001D3F23" w:rsidRPr="002B1AB7">
        <w:rPr>
          <w:sz w:val="28"/>
          <w:szCs w:val="28"/>
        </w:rPr>
        <w:t xml:space="preserve"> </w:t>
      </w:r>
      <w:r w:rsidR="00B173A9" w:rsidRPr="002B1AB7">
        <w:rPr>
          <w:sz w:val="28"/>
          <w:szCs w:val="28"/>
        </w:rPr>
        <w:t>sobretudo</w:t>
      </w:r>
      <w:r w:rsidR="00911D78" w:rsidRPr="002B1AB7">
        <w:rPr>
          <w:sz w:val="28"/>
          <w:szCs w:val="28"/>
        </w:rPr>
        <w:t>,</w:t>
      </w:r>
      <w:r w:rsidR="002C2573" w:rsidRPr="002B1AB7">
        <w:rPr>
          <w:sz w:val="28"/>
          <w:szCs w:val="28"/>
        </w:rPr>
        <w:t xml:space="preserve"> dos problemas enfrentados pela </w:t>
      </w:r>
      <w:r w:rsidR="00B173A9" w:rsidRPr="002B1AB7">
        <w:rPr>
          <w:sz w:val="28"/>
          <w:szCs w:val="28"/>
        </w:rPr>
        <w:t xml:space="preserve">Agropecuária. </w:t>
      </w:r>
      <w:r w:rsidR="002C2573" w:rsidRPr="002B1AB7">
        <w:rPr>
          <w:sz w:val="28"/>
          <w:szCs w:val="28"/>
        </w:rPr>
        <w:t>No</w:t>
      </w:r>
      <w:r w:rsidR="00E92545" w:rsidRPr="002B1AB7">
        <w:rPr>
          <w:sz w:val="28"/>
          <w:szCs w:val="28"/>
        </w:rPr>
        <w:t>s últimos três anos (2011</w:t>
      </w:r>
      <w:r w:rsidR="00E92545" w:rsidRPr="002B1AB7">
        <w:rPr>
          <w:b/>
          <w:sz w:val="28"/>
          <w:szCs w:val="28"/>
        </w:rPr>
        <w:t xml:space="preserve"> </w:t>
      </w:r>
      <w:r w:rsidR="00E92545" w:rsidRPr="002B1AB7">
        <w:rPr>
          <w:sz w:val="28"/>
          <w:szCs w:val="28"/>
        </w:rPr>
        <w:t xml:space="preserve">– </w:t>
      </w:r>
      <w:r w:rsidR="00E92545" w:rsidRPr="002B1AB7">
        <w:rPr>
          <w:sz w:val="28"/>
          <w:szCs w:val="28"/>
        </w:rPr>
        <w:lastRenderedPageBreak/>
        <w:t>2013</w:t>
      </w:r>
      <w:r w:rsidR="002C2573" w:rsidRPr="002B1AB7">
        <w:rPr>
          <w:sz w:val="28"/>
          <w:szCs w:val="28"/>
        </w:rPr>
        <w:t xml:space="preserve">), o Estado acumulou um crescimento de </w:t>
      </w:r>
      <w:r w:rsidR="001B0879" w:rsidRPr="002B1AB7">
        <w:rPr>
          <w:sz w:val="28"/>
          <w:szCs w:val="28"/>
        </w:rPr>
        <w:t>13,4</w:t>
      </w:r>
      <w:r w:rsidR="002C2573" w:rsidRPr="002B1AB7">
        <w:rPr>
          <w:sz w:val="28"/>
          <w:szCs w:val="28"/>
        </w:rPr>
        <w:t xml:space="preserve">%, o que representa uma média anual de </w:t>
      </w:r>
      <w:r w:rsidR="001B0879" w:rsidRPr="002B1AB7">
        <w:rPr>
          <w:sz w:val="28"/>
          <w:szCs w:val="28"/>
        </w:rPr>
        <w:t>4,</w:t>
      </w:r>
      <w:r w:rsidR="00E520D9">
        <w:rPr>
          <w:sz w:val="28"/>
          <w:szCs w:val="28"/>
        </w:rPr>
        <w:t>4</w:t>
      </w:r>
      <w:r w:rsidR="001B0879" w:rsidRPr="002B1AB7">
        <w:rPr>
          <w:sz w:val="28"/>
          <w:szCs w:val="28"/>
        </w:rPr>
        <w:t>6</w:t>
      </w:r>
      <w:r w:rsidR="002C2573" w:rsidRPr="002B1AB7">
        <w:rPr>
          <w:sz w:val="28"/>
          <w:szCs w:val="28"/>
        </w:rPr>
        <w:t>%, enquanto o país, no</w:t>
      </w:r>
      <w:r w:rsidR="005E0F59" w:rsidRPr="002B1AB7">
        <w:rPr>
          <w:sz w:val="28"/>
          <w:szCs w:val="28"/>
        </w:rPr>
        <w:t xml:space="preserve"> mesmo período, acumulou um crescimento de</w:t>
      </w:r>
      <w:r w:rsidR="00B26B2B" w:rsidRPr="002B1AB7">
        <w:rPr>
          <w:sz w:val="28"/>
          <w:szCs w:val="28"/>
        </w:rPr>
        <w:t xml:space="preserve"> </w:t>
      </w:r>
      <w:r w:rsidR="001B0879" w:rsidRPr="002B1AB7">
        <w:rPr>
          <w:sz w:val="28"/>
          <w:szCs w:val="28"/>
        </w:rPr>
        <w:t>9</w:t>
      </w:r>
      <w:r w:rsidR="00B26B2B" w:rsidRPr="002B1AB7">
        <w:rPr>
          <w:sz w:val="28"/>
          <w:szCs w:val="28"/>
        </w:rPr>
        <w:t>,1%</w:t>
      </w:r>
      <w:r w:rsidR="005E0F59" w:rsidRPr="002B1AB7">
        <w:rPr>
          <w:sz w:val="28"/>
          <w:szCs w:val="28"/>
        </w:rPr>
        <w:t>,</w:t>
      </w:r>
      <w:r w:rsidR="00B26B2B" w:rsidRPr="002B1AB7">
        <w:rPr>
          <w:sz w:val="28"/>
          <w:szCs w:val="28"/>
        </w:rPr>
        <w:t xml:space="preserve"> </w:t>
      </w:r>
      <w:r w:rsidR="005E0F59" w:rsidRPr="002B1AB7">
        <w:rPr>
          <w:sz w:val="28"/>
          <w:szCs w:val="28"/>
        </w:rPr>
        <w:t>representando 3,</w:t>
      </w:r>
      <w:r w:rsidR="001B0879" w:rsidRPr="002B1AB7">
        <w:rPr>
          <w:sz w:val="28"/>
          <w:szCs w:val="28"/>
        </w:rPr>
        <w:t>0</w:t>
      </w:r>
      <w:r w:rsidR="005E0F59" w:rsidRPr="002B1AB7">
        <w:rPr>
          <w:sz w:val="28"/>
          <w:szCs w:val="28"/>
        </w:rPr>
        <w:t>%</w:t>
      </w:r>
      <w:r w:rsidR="002C2573" w:rsidRPr="002B1AB7">
        <w:rPr>
          <w:sz w:val="28"/>
          <w:szCs w:val="28"/>
        </w:rPr>
        <w:t xml:space="preserve"> ao ano</w:t>
      </w:r>
      <w:r w:rsidR="005E0F59" w:rsidRPr="002B1AB7">
        <w:rPr>
          <w:sz w:val="28"/>
          <w:szCs w:val="28"/>
        </w:rPr>
        <w:t xml:space="preserve"> em média</w:t>
      </w:r>
      <w:r w:rsidR="0054078E" w:rsidRPr="002B1AB7">
        <w:rPr>
          <w:sz w:val="28"/>
          <w:szCs w:val="28"/>
        </w:rPr>
        <w:t>.</w:t>
      </w:r>
    </w:p>
    <w:p w:rsidR="00A63737" w:rsidRPr="002B1AB7" w:rsidRDefault="00A63737" w:rsidP="00A63737">
      <w:pPr>
        <w:jc w:val="center"/>
        <w:rPr>
          <w:b/>
          <w:sz w:val="32"/>
          <w:szCs w:val="32"/>
        </w:rPr>
      </w:pPr>
      <w:r w:rsidRPr="002B1AB7">
        <w:rPr>
          <w:b/>
          <w:sz w:val="32"/>
          <w:szCs w:val="32"/>
        </w:rPr>
        <w:t>Gráfico 01 – Taxa de Crescimento do PIB (%) 2011- 2013</w:t>
      </w:r>
    </w:p>
    <w:tbl>
      <w:tblPr>
        <w:tblW w:w="19130" w:type="dxa"/>
        <w:tblInd w:w="70" w:type="dxa"/>
        <w:tblCellMar>
          <w:left w:w="70" w:type="dxa"/>
          <w:right w:w="70" w:type="dxa"/>
        </w:tblCellMar>
        <w:tblLook w:val="04A0" w:firstRow="1" w:lastRow="0" w:firstColumn="1" w:lastColumn="0" w:noHBand="0" w:noVBand="1"/>
      </w:tblPr>
      <w:tblGrid>
        <w:gridCol w:w="9050"/>
        <w:gridCol w:w="1220"/>
        <w:gridCol w:w="1180"/>
        <w:gridCol w:w="960"/>
        <w:gridCol w:w="960"/>
        <w:gridCol w:w="960"/>
        <w:gridCol w:w="960"/>
        <w:gridCol w:w="960"/>
        <w:gridCol w:w="960"/>
        <w:gridCol w:w="960"/>
        <w:gridCol w:w="960"/>
      </w:tblGrid>
      <w:tr w:rsidR="002B1AB7" w:rsidRPr="002B1AB7" w:rsidTr="00221719">
        <w:trPr>
          <w:trHeight w:val="255"/>
        </w:trPr>
        <w:tc>
          <w:tcPr>
            <w:tcW w:w="905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r w:rsidRPr="002B1AB7">
              <w:rPr>
                <w:noProof/>
              </w:rPr>
              <w:drawing>
                <wp:inline distT="0" distB="0" distL="0" distR="0" wp14:anchorId="0674BAA3" wp14:editId="4728AFD8">
                  <wp:extent cx="56007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22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r>
      <w:tr w:rsidR="00A63737" w:rsidRPr="002B1AB7" w:rsidTr="00221719">
        <w:trPr>
          <w:trHeight w:val="255"/>
        </w:trPr>
        <w:tc>
          <w:tcPr>
            <w:tcW w:w="9050" w:type="dxa"/>
            <w:tcBorders>
              <w:top w:val="nil"/>
              <w:left w:val="nil"/>
              <w:bottom w:val="nil"/>
              <w:right w:val="nil"/>
            </w:tcBorders>
            <w:shd w:val="clear" w:color="auto" w:fill="auto"/>
            <w:noWrap/>
            <w:vAlign w:val="bottom"/>
          </w:tcPr>
          <w:p w:rsidR="00A63737" w:rsidRPr="002B1AB7" w:rsidRDefault="00A63737" w:rsidP="00221719">
            <w:pPr>
              <w:spacing w:line="240" w:lineRule="auto"/>
              <w:jc w:val="both"/>
              <w:rPr>
                <w:rFonts w:ascii="Arial" w:eastAsia="Times New Roman" w:hAnsi="Arial" w:cs="Arial"/>
                <w:sz w:val="20"/>
                <w:szCs w:val="20"/>
              </w:rPr>
            </w:pPr>
            <w:r w:rsidRPr="002B1AB7">
              <w:rPr>
                <w:sz w:val="18"/>
                <w:szCs w:val="18"/>
              </w:rPr>
              <w:t xml:space="preserve">Fonte: IBGE, Diretoria de Pesquisa, Coordenação de Contas Nacionais; Elaboração: Fundação </w:t>
            </w:r>
            <w:proofErr w:type="spellStart"/>
            <w:r w:rsidRPr="002B1AB7">
              <w:rPr>
                <w:sz w:val="18"/>
                <w:szCs w:val="18"/>
              </w:rPr>
              <w:t>Cepro</w:t>
            </w:r>
            <w:proofErr w:type="spellEnd"/>
            <w:r w:rsidRPr="002B1AB7">
              <w:rPr>
                <w:sz w:val="18"/>
                <w:szCs w:val="18"/>
              </w:rPr>
              <w:t>.</w:t>
            </w:r>
          </w:p>
        </w:tc>
        <w:tc>
          <w:tcPr>
            <w:tcW w:w="122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rsidR="00A63737" w:rsidRPr="002B1AB7" w:rsidRDefault="00A63737" w:rsidP="00221719">
            <w:pPr>
              <w:spacing w:after="0" w:line="240" w:lineRule="auto"/>
              <w:rPr>
                <w:rFonts w:ascii="Arial" w:eastAsia="Times New Roman" w:hAnsi="Arial" w:cs="Arial"/>
                <w:sz w:val="20"/>
                <w:szCs w:val="20"/>
              </w:rPr>
            </w:pPr>
          </w:p>
        </w:tc>
      </w:tr>
    </w:tbl>
    <w:p w:rsidR="00A63737" w:rsidRPr="002B1AB7" w:rsidRDefault="00A63737" w:rsidP="003B16D0">
      <w:pPr>
        <w:spacing w:after="120" w:line="360" w:lineRule="auto"/>
        <w:ind w:firstLine="567"/>
        <w:jc w:val="both"/>
        <w:rPr>
          <w:sz w:val="28"/>
          <w:szCs w:val="28"/>
        </w:rPr>
      </w:pPr>
    </w:p>
    <w:p w:rsidR="00515258" w:rsidRPr="002B1AB7" w:rsidRDefault="00CB2478" w:rsidP="00403986">
      <w:pPr>
        <w:spacing w:after="120" w:line="360" w:lineRule="auto"/>
        <w:ind w:firstLine="567"/>
        <w:jc w:val="both"/>
        <w:rPr>
          <w:sz w:val="28"/>
          <w:szCs w:val="28"/>
        </w:rPr>
      </w:pPr>
      <w:r w:rsidRPr="002B1AB7">
        <w:rPr>
          <w:sz w:val="28"/>
          <w:szCs w:val="28"/>
        </w:rPr>
        <w:t>Em 2013</w:t>
      </w:r>
      <w:r w:rsidR="002C2573" w:rsidRPr="002B1AB7">
        <w:rPr>
          <w:sz w:val="28"/>
          <w:szCs w:val="28"/>
        </w:rPr>
        <w:t xml:space="preserve">, as exportações piauienses </w:t>
      </w:r>
      <w:r w:rsidR="005D2040" w:rsidRPr="002B1AB7">
        <w:rPr>
          <w:sz w:val="28"/>
          <w:szCs w:val="28"/>
        </w:rPr>
        <w:t>mostraram</w:t>
      </w:r>
      <w:r w:rsidR="002C2573" w:rsidRPr="002B1AB7">
        <w:rPr>
          <w:sz w:val="28"/>
          <w:szCs w:val="28"/>
        </w:rPr>
        <w:t xml:space="preserve"> um resultado </w:t>
      </w:r>
      <w:r w:rsidR="00403986" w:rsidRPr="002B1AB7">
        <w:rPr>
          <w:sz w:val="28"/>
          <w:szCs w:val="28"/>
        </w:rPr>
        <w:t>des</w:t>
      </w:r>
      <w:r w:rsidR="002C2573" w:rsidRPr="002B1AB7">
        <w:rPr>
          <w:sz w:val="28"/>
          <w:szCs w:val="28"/>
        </w:rPr>
        <w:t xml:space="preserve">favorável, </w:t>
      </w:r>
      <w:r w:rsidR="00403986" w:rsidRPr="002B1AB7">
        <w:rPr>
          <w:sz w:val="28"/>
          <w:szCs w:val="28"/>
        </w:rPr>
        <w:t xml:space="preserve">uma queda de </w:t>
      </w:r>
      <w:r w:rsidR="00C821B1">
        <w:rPr>
          <w:sz w:val="28"/>
          <w:szCs w:val="28"/>
        </w:rPr>
        <w:t>-</w:t>
      </w:r>
      <w:r w:rsidR="00403986" w:rsidRPr="002B1AB7">
        <w:rPr>
          <w:sz w:val="28"/>
          <w:szCs w:val="28"/>
        </w:rPr>
        <w:t>28,30</w:t>
      </w:r>
      <w:r w:rsidR="002C2573" w:rsidRPr="002B1AB7">
        <w:rPr>
          <w:sz w:val="28"/>
          <w:szCs w:val="28"/>
        </w:rPr>
        <w:t>% em relação ao ano anterior</w:t>
      </w:r>
      <w:r w:rsidR="00843EC2" w:rsidRPr="002B1AB7">
        <w:rPr>
          <w:sz w:val="28"/>
          <w:szCs w:val="28"/>
        </w:rPr>
        <w:t>,</w:t>
      </w:r>
      <w:r w:rsidR="002C2573" w:rsidRPr="002B1AB7">
        <w:rPr>
          <w:sz w:val="28"/>
          <w:szCs w:val="28"/>
        </w:rPr>
        <w:t xml:space="preserve"> atingindo o montante de US$</w:t>
      </w:r>
      <w:r w:rsidR="00DD7BFE" w:rsidRPr="002B1AB7">
        <w:rPr>
          <w:sz w:val="28"/>
          <w:szCs w:val="28"/>
        </w:rPr>
        <w:t xml:space="preserve"> </w:t>
      </w:r>
      <w:r w:rsidR="00D97AAD" w:rsidRPr="002B1AB7">
        <w:rPr>
          <w:sz w:val="28"/>
          <w:szCs w:val="28"/>
        </w:rPr>
        <w:t>161.847.995</w:t>
      </w:r>
      <w:r w:rsidR="00153161" w:rsidRPr="002B1AB7">
        <w:rPr>
          <w:sz w:val="28"/>
          <w:szCs w:val="28"/>
        </w:rPr>
        <w:t>.</w:t>
      </w:r>
      <w:r w:rsidR="003D5102" w:rsidRPr="002B1AB7">
        <w:rPr>
          <w:sz w:val="28"/>
          <w:szCs w:val="28"/>
        </w:rPr>
        <w:t xml:space="preserve"> </w:t>
      </w:r>
      <w:r w:rsidR="00153161" w:rsidRPr="002B1AB7">
        <w:rPr>
          <w:sz w:val="28"/>
          <w:szCs w:val="28"/>
        </w:rPr>
        <w:t>E</w:t>
      </w:r>
      <w:r w:rsidR="00B173A9" w:rsidRPr="002B1AB7">
        <w:rPr>
          <w:sz w:val="28"/>
          <w:szCs w:val="28"/>
        </w:rPr>
        <w:t>nquanto</w:t>
      </w:r>
      <w:r w:rsidR="002F18EC" w:rsidRPr="002B1AB7">
        <w:rPr>
          <w:sz w:val="28"/>
          <w:szCs w:val="28"/>
        </w:rPr>
        <w:t xml:space="preserve"> isso,</w:t>
      </w:r>
      <w:r w:rsidR="00B173A9" w:rsidRPr="002B1AB7">
        <w:rPr>
          <w:sz w:val="28"/>
          <w:szCs w:val="28"/>
        </w:rPr>
        <w:t xml:space="preserve"> as</w:t>
      </w:r>
      <w:r w:rsidR="002C2573" w:rsidRPr="002B1AB7">
        <w:rPr>
          <w:sz w:val="28"/>
          <w:szCs w:val="28"/>
        </w:rPr>
        <w:t xml:space="preserve"> importações</w:t>
      </w:r>
      <w:r w:rsidR="002F18EC" w:rsidRPr="002B1AB7">
        <w:rPr>
          <w:sz w:val="28"/>
          <w:szCs w:val="28"/>
        </w:rPr>
        <w:t xml:space="preserve"> tiveram acréscimo de 15,31%</w:t>
      </w:r>
      <w:r w:rsidR="00153161" w:rsidRPr="002B1AB7">
        <w:rPr>
          <w:sz w:val="28"/>
          <w:szCs w:val="28"/>
        </w:rPr>
        <w:t>.</w:t>
      </w:r>
    </w:p>
    <w:p w:rsidR="00515258" w:rsidRPr="002B1AB7" w:rsidRDefault="00515258" w:rsidP="003B16D0">
      <w:pPr>
        <w:spacing w:after="120" w:line="360" w:lineRule="auto"/>
        <w:ind w:firstLine="567"/>
        <w:jc w:val="both"/>
        <w:rPr>
          <w:sz w:val="28"/>
          <w:szCs w:val="28"/>
        </w:rPr>
      </w:pPr>
      <w:r w:rsidRPr="002B1AB7">
        <w:rPr>
          <w:sz w:val="28"/>
          <w:szCs w:val="28"/>
        </w:rPr>
        <w:t xml:space="preserve"> </w:t>
      </w:r>
      <w:r w:rsidR="00592110" w:rsidRPr="002B1AB7">
        <w:rPr>
          <w:sz w:val="28"/>
          <w:szCs w:val="28"/>
        </w:rPr>
        <w:t>A</w:t>
      </w:r>
      <w:r w:rsidRPr="002B1AB7">
        <w:rPr>
          <w:sz w:val="28"/>
          <w:szCs w:val="28"/>
        </w:rPr>
        <w:t xml:space="preserve"> arrecadação total de impostos (</w:t>
      </w:r>
      <w:r w:rsidR="003D5102" w:rsidRPr="002B1AB7">
        <w:rPr>
          <w:sz w:val="28"/>
          <w:szCs w:val="28"/>
        </w:rPr>
        <w:t xml:space="preserve">federais, </w:t>
      </w:r>
      <w:r w:rsidRPr="002B1AB7">
        <w:rPr>
          <w:sz w:val="28"/>
          <w:szCs w:val="28"/>
        </w:rPr>
        <w:t xml:space="preserve">estaduais e municipais) </w:t>
      </w:r>
      <w:r w:rsidR="003D5102" w:rsidRPr="002B1AB7">
        <w:rPr>
          <w:sz w:val="28"/>
          <w:szCs w:val="28"/>
        </w:rPr>
        <w:t>obteve</w:t>
      </w:r>
      <w:r w:rsidRPr="002B1AB7">
        <w:rPr>
          <w:sz w:val="28"/>
          <w:szCs w:val="28"/>
        </w:rPr>
        <w:t xml:space="preserve"> uma taxa de crescimento real da ordem de </w:t>
      </w:r>
      <w:r w:rsidR="000403BC" w:rsidRPr="002B1AB7">
        <w:rPr>
          <w:sz w:val="28"/>
          <w:szCs w:val="28"/>
        </w:rPr>
        <w:t>6,6</w:t>
      </w:r>
      <w:r w:rsidR="003F42C2" w:rsidRPr="002B1AB7">
        <w:rPr>
          <w:sz w:val="28"/>
          <w:szCs w:val="28"/>
        </w:rPr>
        <w:t>3</w:t>
      </w:r>
      <w:r w:rsidRPr="002B1AB7">
        <w:rPr>
          <w:sz w:val="28"/>
          <w:szCs w:val="28"/>
        </w:rPr>
        <w:t>%</w:t>
      </w:r>
      <w:r w:rsidR="003D5102" w:rsidRPr="002B1AB7">
        <w:rPr>
          <w:sz w:val="28"/>
          <w:szCs w:val="28"/>
        </w:rPr>
        <w:t xml:space="preserve">. </w:t>
      </w:r>
      <w:r w:rsidR="00891350" w:rsidRPr="002B1AB7">
        <w:rPr>
          <w:sz w:val="28"/>
          <w:szCs w:val="28"/>
        </w:rPr>
        <w:t>O</w:t>
      </w:r>
      <w:r w:rsidR="001D40FC" w:rsidRPr="002B1AB7">
        <w:rPr>
          <w:sz w:val="28"/>
          <w:szCs w:val="28"/>
        </w:rPr>
        <w:t xml:space="preserve"> </w:t>
      </w:r>
      <w:r w:rsidRPr="002B1AB7">
        <w:rPr>
          <w:sz w:val="28"/>
          <w:szCs w:val="28"/>
        </w:rPr>
        <w:t>ICMS</w:t>
      </w:r>
      <w:r w:rsidR="001D40FC" w:rsidRPr="002B1AB7">
        <w:rPr>
          <w:sz w:val="28"/>
          <w:szCs w:val="28"/>
        </w:rPr>
        <w:t>,</w:t>
      </w:r>
      <w:r w:rsidR="002E4A3F" w:rsidRPr="002B1AB7">
        <w:rPr>
          <w:sz w:val="28"/>
          <w:szCs w:val="28"/>
        </w:rPr>
        <w:t xml:space="preserve"> </w:t>
      </w:r>
      <w:r w:rsidR="00801912" w:rsidRPr="002B1AB7">
        <w:rPr>
          <w:sz w:val="28"/>
          <w:szCs w:val="28"/>
        </w:rPr>
        <w:t xml:space="preserve">imposto de maior peso no Estado, </w:t>
      </w:r>
      <w:r w:rsidRPr="002B1AB7">
        <w:rPr>
          <w:sz w:val="28"/>
          <w:szCs w:val="28"/>
        </w:rPr>
        <w:t xml:space="preserve">cresceu no período </w:t>
      </w:r>
      <w:r w:rsidR="00074EB9" w:rsidRPr="002B1AB7">
        <w:rPr>
          <w:sz w:val="28"/>
          <w:szCs w:val="28"/>
        </w:rPr>
        <w:t>11,2</w:t>
      </w:r>
      <w:r w:rsidR="007C7F8A">
        <w:rPr>
          <w:sz w:val="28"/>
          <w:szCs w:val="28"/>
        </w:rPr>
        <w:t>4</w:t>
      </w:r>
      <w:r w:rsidR="00801912" w:rsidRPr="002B1AB7">
        <w:rPr>
          <w:sz w:val="28"/>
          <w:szCs w:val="28"/>
        </w:rPr>
        <w:t>%</w:t>
      </w:r>
      <w:r w:rsidR="00891350" w:rsidRPr="002B1AB7">
        <w:rPr>
          <w:sz w:val="28"/>
          <w:szCs w:val="28"/>
        </w:rPr>
        <w:t>.</w:t>
      </w:r>
    </w:p>
    <w:p w:rsidR="00D661D9" w:rsidRPr="002B1AB7" w:rsidRDefault="00515258" w:rsidP="003B16D0">
      <w:pPr>
        <w:spacing w:after="120" w:line="360" w:lineRule="auto"/>
        <w:ind w:firstLine="567"/>
        <w:jc w:val="both"/>
        <w:rPr>
          <w:sz w:val="28"/>
          <w:szCs w:val="28"/>
        </w:rPr>
      </w:pPr>
      <w:r w:rsidRPr="002B1AB7">
        <w:rPr>
          <w:sz w:val="28"/>
          <w:szCs w:val="28"/>
        </w:rPr>
        <w:t>No campo da oferta de trabalho, segundo dados do Cadastro Geral</w:t>
      </w:r>
      <w:r w:rsidR="00D661D9" w:rsidRPr="002B1AB7">
        <w:rPr>
          <w:sz w:val="28"/>
          <w:szCs w:val="28"/>
        </w:rPr>
        <w:t xml:space="preserve"> de Empregados e D</w:t>
      </w:r>
      <w:r w:rsidR="000E6616" w:rsidRPr="002B1AB7">
        <w:rPr>
          <w:sz w:val="28"/>
          <w:szCs w:val="28"/>
        </w:rPr>
        <w:t xml:space="preserve">esempregados </w:t>
      </w:r>
      <w:r w:rsidR="00D661D9" w:rsidRPr="002B1AB7">
        <w:rPr>
          <w:sz w:val="28"/>
          <w:szCs w:val="28"/>
        </w:rPr>
        <w:t>(CAGED), o Piauí obteve em 2013</w:t>
      </w:r>
      <w:r w:rsidR="000E6616" w:rsidRPr="002B1AB7">
        <w:rPr>
          <w:sz w:val="28"/>
          <w:szCs w:val="28"/>
        </w:rPr>
        <w:t xml:space="preserve"> um saldo de </w:t>
      </w:r>
      <w:r w:rsidR="00D661D9" w:rsidRPr="002B1AB7">
        <w:rPr>
          <w:sz w:val="28"/>
          <w:szCs w:val="28"/>
        </w:rPr>
        <w:t>6.493</w:t>
      </w:r>
      <w:r w:rsidR="000E6616" w:rsidRPr="002B1AB7">
        <w:rPr>
          <w:sz w:val="28"/>
          <w:szCs w:val="28"/>
        </w:rPr>
        <w:t xml:space="preserve"> novos empregos</w:t>
      </w:r>
      <w:r w:rsidR="00A86C43" w:rsidRPr="002B1AB7">
        <w:rPr>
          <w:sz w:val="28"/>
          <w:szCs w:val="28"/>
        </w:rPr>
        <w:t xml:space="preserve"> com carteira </w:t>
      </w:r>
      <w:r w:rsidR="003D5102" w:rsidRPr="002B1AB7">
        <w:rPr>
          <w:sz w:val="28"/>
          <w:szCs w:val="28"/>
        </w:rPr>
        <w:t>assinada,</w:t>
      </w:r>
      <w:r w:rsidR="00D661D9" w:rsidRPr="002B1AB7">
        <w:rPr>
          <w:sz w:val="28"/>
          <w:szCs w:val="28"/>
        </w:rPr>
        <w:t xml:space="preserve"> o que representa </w:t>
      </w:r>
      <w:r w:rsidR="00931EBC" w:rsidRPr="002B1AB7">
        <w:rPr>
          <w:sz w:val="28"/>
          <w:szCs w:val="28"/>
        </w:rPr>
        <w:t xml:space="preserve">um </w:t>
      </w:r>
      <w:r w:rsidR="00D661D9" w:rsidRPr="002B1AB7">
        <w:rPr>
          <w:sz w:val="28"/>
          <w:szCs w:val="28"/>
        </w:rPr>
        <w:t>crescimento de 78,3% em relação ao registrado no ano</w:t>
      </w:r>
      <w:r w:rsidR="002E4A3F" w:rsidRPr="002B1AB7">
        <w:rPr>
          <w:sz w:val="28"/>
          <w:szCs w:val="28"/>
        </w:rPr>
        <w:t xml:space="preserve"> de 2012, quando foram gerados </w:t>
      </w:r>
      <w:r w:rsidR="00D661D9" w:rsidRPr="002B1AB7">
        <w:rPr>
          <w:sz w:val="28"/>
          <w:szCs w:val="28"/>
        </w:rPr>
        <w:t>3.641 postos de trabalho.</w:t>
      </w:r>
    </w:p>
    <w:p w:rsidR="00FA3C48" w:rsidRPr="002B1AB7" w:rsidRDefault="0031786C" w:rsidP="0031786C">
      <w:pPr>
        <w:spacing w:after="120" w:line="360" w:lineRule="auto"/>
        <w:jc w:val="both"/>
        <w:rPr>
          <w:sz w:val="28"/>
          <w:szCs w:val="28"/>
        </w:rPr>
      </w:pPr>
      <w:r w:rsidRPr="002B1AB7">
        <w:rPr>
          <w:sz w:val="28"/>
          <w:szCs w:val="28"/>
        </w:rPr>
        <w:lastRenderedPageBreak/>
        <w:t xml:space="preserve">     </w:t>
      </w:r>
      <w:r w:rsidR="0061485E" w:rsidRPr="002B1AB7">
        <w:rPr>
          <w:sz w:val="28"/>
          <w:szCs w:val="28"/>
        </w:rPr>
        <w:t>O</w:t>
      </w:r>
      <w:r w:rsidR="00A86C43" w:rsidRPr="002B1AB7">
        <w:rPr>
          <w:sz w:val="28"/>
          <w:szCs w:val="28"/>
        </w:rPr>
        <w:t xml:space="preserve">s maiores </w:t>
      </w:r>
      <w:r w:rsidR="0061485E" w:rsidRPr="002B1AB7">
        <w:rPr>
          <w:sz w:val="28"/>
          <w:szCs w:val="28"/>
        </w:rPr>
        <w:t>crescimentos</w:t>
      </w:r>
      <w:r w:rsidR="00A86C43" w:rsidRPr="002B1AB7">
        <w:rPr>
          <w:sz w:val="28"/>
          <w:szCs w:val="28"/>
        </w:rPr>
        <w:t xml:space="preserve"> na oferta de </w:t>
      </w:r>
      <w:r w:rsidR="00C40CF6" w:rsidRPr="002B1AB7">
        <w:rPr>
          <w:sz w:val="28"/>
          <w:szCs w:val="28"/>
        </w:rPr>
        <w:t>empregos formais foram observado</w:t>
      </w:r>
      <w:r w:rsidR="00A86C43" w:rsidRPr="002B1AB7">
        <w:rPr>
          <w:sz w:val="28"/>
          <w:szCs w:val="28"/>
        </w:rPr>
        <w:t>s nas atividade</w:t>
      </w:r>
      <w:r w:rsidR="00B26B2B" w:rsidRPr="002B1AB7">
        <w:rPr>
          <w:sz w:val="28"/>
          <w:szCs w:val="28"/>
        </w:rPr>
        <w:t xml:space="preserve">s </w:t>
      </w:r>
      <w:r w:rsidR="0044697D" w:rsidRPr="002B1AB7">
        <w:rPr>
          <w:sz w:val="28"/>
          <w:szCs w:val="28"/>
        </w:rPr>
        <w:t xml:space="preserve">Indústria de </w:t>
      </w:r>
      <w:r w:rsidR="00C8763B" w:rsidRPr="002B1AB7">
        <w:rPr>
          <w:sz w:val="28"/>
          <w:szCs w:val="28"/>
        </w:rPr>
        <w:t>Transformação</w:t>
      </w:r>
      <w:r w:rsidR="003048A2" w:rsidRPr="002B1AB7">
        <w:rPr>
          <w:sz w:val="28"/>
          <w:szCs w:val="28"/>
        </w:rPr>
        <w:t>,</w:t>
      </w:r>
      <w:r w:rsidR="00C8763B" w:rsidRPr="002B1AB7">
        <w:rPr>
          <w:sz w:val="28"/>
          <w:szCs w:val="28"/>
        </w:rPr>
        <w:t xml:space="preserve"> </w:t>
      </w:r>
      <w:r w:rsidR="00711EB9" w:rsidRPr="002B1AB7">
        <w:rPr>
          <w:sz w:val="28"/>
          <w:szCs w:val="28"/>
        </w:rPr>
        <w:t>Comércio</w:t>
      </w:r>
      <w:r w:rsidR="003048A2" w:rsidRPr="002B1AB7">
        <w:rPr>
          <w:sz w:val="28"/>
          <w:szCs w:val="28"/>
        </w:rPr>
        <w:t xml:space="preserve"> e Serviços</w:t>
      </w:r>
      <w:r w:rsidR="0044697D" w:rsidRPr="002B1AB7">
        <w:rPr>
          <w:sz w:val="28"/>
          <w:szCs w:val="28"/>
        </w:rPr>
        <w:t>.</w:t>
      </w:r>
      <w:r w:rsidR="00A86C43" w:rsidRPr="002B1AB7">
        <w:rPr>
          <w:sz w:val="28"/>
          <w:szCs w:val="28"/>
        </w:rPr>
        <w:t xml:space="preserve"> O setor da Economia que mais gerou postos de trabalho foi o de Serviços com destaque para a atividade de </w:t>
      </w:r>
      <w:r w:rsidR="003D5102" w:rsidRPr="002B1AB7">
        <w:rPr>
          <w:sz w:val="28"/>
          <w:szCs w:val="28"/>
        </w:rPr>
        <w:t>Comércio</w:t>
      </w:r>
      <w:r w:rsidR="005B2171">
        <w:rPr>
          <w:sz w:val="28"/>
          <w:szCs w:val="28"/>
        </w:rPr>
        <w:t xml:space="preserve"> com 1.726,</w:t>
      </w:r>
      <w:r w:rsidR="00FA3C48" w:rsidRPr="002B1AB7">
        <w:rPr>
          <w:sz w:val="28"/>
          <w:szCs w:val="28"/>
        </w:rPr>
        <w:t xml:space="preserve"> seguida da </w:t>
      </w:r>
      <w:r w:rsidR="006C5AA6" w:rsidRPr="002B1AB7">
        <w:rPr>
          <w:sz w:val="28"/>
          <w:szCs w:val="28"/>
        </w:rPr>
        <w:t>Indústria</w:t>
      </w:r>
      <w:r w:rsidR="00FA3C48" w:rsidRPr="002B1AB7">
        <w:rPr>
          <w:sz w:val="28"/>
          <w:szCs w:val="28"/>
        </w:rPr>
        <w:t xml:space="preserve"> de Transformação que gerou 482 novos postos de trabalho.</w:t>
      </w:r>
      <w:r w:rsidR="003048A2" w:rsidRPr="002B1AB7">
        <w:rPr>
          <w:sz w:val="28"/>
          <w:szCs w:val="28"/>
        </w:rPr>
        <w:t xml:space="preserve">                                                                                                       </w:t>
      </w:r>
    </w:p>
    <w:p w:rsidR="002C2573" w:rsidRPr="002B1AB7" w:rsidRDefault="00967C05" w:rsidP="003B16D0">
      <w:pPr>
        <w:spacing w:after="120" w:line="360" w:lineRule="auto"/>
        <w:ind w:firstLine="567"/>
        <w:jc w:val="both"/>
        <w:rPr>
          <w:sz w:val="28"/>
          <w:szCs w:val="28"/>
        </w:rPr>
      </w:pPr>
      <w:r w:rsidRPr="002B1AB7">
        <w:rPr>
          <w:sz w:val="28"/>
          <w:szCs w:val="28"/>
        </w:rPr>
        <w:t>Em termos de variação real</w:t>
      </w:r>
      <w:r w:rsidR="00220949" w:rsidRPr="002B1AB7">
        <w:rPr>
          <w:sz w:val="28"/>
          <w:szCs w:val="28"/>
        </w:rPr>
        <w:t xml:space="preserve"> </w:t>
      </w:r>
      <w:r w:rsidRPr="002B1AB7">
        <w:rPr>
          <w:sz w:val="28"/>
          <w:szCs w:val="28"/>
        </w:rPr>
        <w:t xml:space="preserve">do PIB, houve </w:t>
      </w:r>
      <w:r w:rsidR="00522325" w:rsidRPr="002B1AB7">
        <w:rPr>
          <w:sz w:val="28"/>
          <w:szCs w:val="28"/>
        </w:rPr>
        <w:t xml:space="preserve">crescimento </w:t>
      </w:r>
      <w:r w:rsidRPr="002B1AB7">
        <w:rPr>
          <w:sz w:val="28"/>
          <w:szCs w:val="28"/>
        </w:rPr>
        <w:t xml:space="preserve">de </w:t>
      </w:r>
      <w:r w:rsidR="004C65E5" w:rsidRPr="002B1AB7">
        <w:rPr>
          <w:sz w:val="28"/>
          <w:szCs w:val="28"/>
        </w:rPr>
        <w:t>2,</w:t>
      </w:r>
      <w:r w:rsidR="005F3B81" w:rsidRPr="002B1AB7">
        <w:rPr>
          <w:sz w:val="28"/>
          <w:szCs w:val="28"/>
        </w:rPr>
        <w:t>4</w:t>
      </w:r>
      <w:r w:rsidRPr="002B1AB7">
        <w:rPr>
          <w:sz w:val="28"/>
          <w:szCs w:val="28"/>
        </w:rPr>
        <w:t xml:space="preserve">% em comparação ao ano </w:t>
      </w:r>
      <w:r w:rsidR="00220949" w:rsidRPr="002B1AB7">
        <w:rPr>
          <w:sz w:val="28"/>
          <w:szCs w:val="28"/>
        </w:rPr>
        <w:t xml:space="preserve">anterior. </w:t>
      </w:r>
      <w:r w:rsidR="002C3124" w:rsidRPr="002B1AB7">
        <w:rPr>
          <w:sz w:val="28"/>
          <w:szCs w:val="28"/>
        </w:rPr>
        <w:t xml:space="preserve">Dentre os setores econômicos apenas a </w:t>
      </w:r>
      <w:r w:rsidRPr="002B1AB7">
        <w:rPr>
          <w:sz w:val="28"/>
          <w:szCs w:val="28"/>
        </w:rPr>
        <w:t xml:space="preserve">Agropecuária </w:t>
      </w:r>
      <w:r w:rsidR="002C3124" w:rsidRPr="002B1AB7">
        <w:rPr>
          <w:sz w:val="28"/>
          <w:szCs w:val="28"/>
        </w:rPr>
        <w:t>experimentou</w:t>
      </w:r>
      <w:r w:rsidRPr="002B1AB7">
        <w:rPr>
          <w:sz w:val="28"/>
          <w:szCs w:val="28"/>
        </w:rPr>
        <w:t xml:space="preserve"> retração de</w:t>
      </w:r>
      <w:r w:rsidR="002C3124" w:rsidRPr="002B1AB7">
        <w:rPr>
          <w:sz w:val="28"/>
          <w:szCs w:val="28"/>
        </w:rPr>
        <w:t xml:space="preserve"> -</w:t>
      </w:r>
      <w:r w:rsidR="00884C01">
        <w:rPr>
          <w:sz w:val="28"/>
          <w:szCs w:val="28"/>
        </w:rPr>
        <w:t>26,07</w:t>
      </w:r>
      <w:r w:rsidRPr="002B1AB7">
        <w:rPr>
          <w:sz w:val="28"/>
          <w:szCs w:val="28"/>
        </w:rPr>
        <w:t>%</w:t>
      </w:r>
      <w:r w:rsidR="002C3124" w:rsidRPr="002B1AB7">
        <w:rPr>
          <w:sz w:val="28"/>
          <w:szCs w:val="28"/>
        </w:rPr>
        <w:t>,</w:t>
      </w:r>
      <w:r w:rsidRPr="002B1AB7">
        <w:rPr>
          <w:sz w:val="28"/>
          <w:szCs w:val="28"/>
        </w:rPr>
        <w:t xml:space="preserve"> os demai</w:t>
      </w:r>
      <w:r w:rsidR="002C3124" w:rsidRPr="002B1AB7">
        <w:rPr>
          <w:sz w:val="28"/>
          <w:szCs w:val="28"/>
        </w:rPr>
        <w:t>s observaram crescimento em 2013, Indústria (</w:t>
      </w:r>
      <w:r w:rsidR="00884C01">
        <w:rPr>
          <w:sz w:val="28"/>
          <w:szCs w:val="28"/>
        </w:rPr>
        <w:t>5</w:t>
      </w:r>
      <w:r w:rsidR="002C3124" w:rsidRPr="002B1AB7">
        <w:rPr>
          <w:sz w:val="28"/>
          <w:szCs w:val="28"/>
        </w:rPr>
        <w:t>,</w:t>
      </w:r>
      <w:r w:rsidR="00884C01">
        <w:rPr>
          <w:sz w:val="28"/>
          <w:szCs w:val="28"/>
        </w:rPr>
        <w:t>9</w:t>
      </w:r>
      <w:r w:rsidR="002C3124" w:rsidRPr="002B1AB7">
        <w:rPr>
          <w:sz w:val="28"/>
          <w:szCs w:val="28"/>
        </w:rPr>
        <w:t>%) e Serviços (</w:t>
      </w:r>
      <w:r w:rsidR="00884C01">
        <w:rPr>
          <w:sz w:val="28"/>
          <w:szCs w:val="28"/>
        </w:rPr>
        <w:t>4</w:t>
      </w:r>
      <w:r w:rsidR="002C3124" w:rsidRPr="002B1AB7">
        <w:rPr>
          <w:sz w:val="28"/>
          <w:szCs w:val="28"/>
        </w:rPr>
        <w:t>,0%).</w:t>
      </w:r>
    </w:p>
    <w:p w:rsidR="00A63737" w:rsidRPr="002B1AB7" w:rsidRDefault="00D87678" w:rsidP="00A50B0C">
      <w:pPr>
        <w:spacing w:after="120" w:line="360" w:lineRule="auto"/>
        <w:jc w:val="both"/>
        <w:rPr>
          <w:sz w:val="28"/>
          <w:szCs w:val="28"/>
        </w:rPr>
      </w:pPr>
      <w:r w:rsidRPr="002B1AB7">
        <w:rPr>
          <w:b/>
          <w:sz w:val="28"/>
          <w:szCs w:val="28"/>
        </w:rPr>
        <w:t xml:space="preserve">     </w:t>
      </w:r>
      <w:r w:rsidR="00916628" w:rsidRPr="002B1AB7">
        <w:rPr>
          <w:sz w:val="28"/>
          <w:szCs w:val="28"/>
        </w:rPr>
        <w:t>O Piauí</w:t>
      </w:r>
      <w:r w:rsidR="00967C05" w:rsidRPr="002B1AB7">
        <w:rPr>
          <w:sz w:val="28"/>
          <w:szCs w:val="28"/>
        </w:rPr>
        <w:t xml:space="preserve"> </w:t>
      </w:r>
      <w:r w:rsidR="001278B3" w:rsidRPr="002B1AB7">
        <w:rPr>
          <w:sz w:val="28"/>
          <w:szCs w:val="28"/>
        </w:rPr>
        <w:t>ocupa a 22</w:t>
      </w:r>
      <w:r w:rsidR="001278B3" w:rsidRPr="002B1AB7">
        <w:rPr>
          <w:sz w:val="26"/>
          <w:szCs w:val="28"/>
        </w:rPr>
        <w:t>ª</w:t>
      </w:r>
      <w:r w:rsidR="00967C05" w:rsidRPr="002B1AB7">
        <w:rPr>
          <w:sz w:val="28"/>
          <w:szCs w:val="28"/>
        </w:rPr>
        <w:t xml:space="preserve"> posição no ranking das maiores economias </w:t>
      </w:r>
      <w:r w:rsidR="001278B3" w:rsidRPr="002B1AB7">
        <w:rPr>
          <w:sz w:val="28"/>
          <w:szCs w:val="28"/>
        </w:rPr>
        <w:t>do Brasil</w:t>
      </w:r>
      <w:r w:rsidR="00220949" w:rsidRPr="002B1AB7">
        <w:rPr>
          <w:sz w:val="28"/>
          <w:szCs w:val="28"/>
        </w:rPr>
        <w:t>,</w:t>
      </w:r>
      <w:proofErr w:type="gramStart"/>
      <w:r w:rsidR="001278B3" w:rsidRPr="002B1AB7">
        <w:rPr>
          <w:sz w:val="28"/>
          <w:szCs w:val="28"/>
        </w:rPr>
        <w:t xml:space="preserve"> </w:t>
      </w:r>
      <w:r w:rsidR="002A3C16" w:rsidRPr="002B1AB7">
        <w:rPr>
          <w:sz w:val="28"/>
          <w:szCs w:val="28"/>
        </w:rPr>
        <w:t xml:space="preserve"> </w:t>
      </w:r>
      <w:proofErr w:type="gramEnd"/>
      <w:r w:rsidR="00C70184" w:rsidRPr="002B1AB7">
        <w:rPr>
          <w:sz w:val="28"/>
          <w:szCs w:val="28"/>
        </w:rPr>
        <w:t xml:space="preserve">com </w:t>
      </w:r>
      <w:r w:rsidR="001278B3" w:rsidRPr="002B1AB7">
        <w:rPr>
          <w:sz w:val="28"/>
          <w:szCs w:val="28"/>
        </w:rPr>
        <w:t>0,6%</w:t>
      </w:r>
      <w:r w:rsidR="00A37B44" w:rsidRPr="002B1AB7">
        <w:rPr>
          <w:sz w:val="28"/>
          <w:szCs w:val="28"/>
        </w:rPr>
        <w:t xml:space="preserve"> na p</w:t>
      </w:r>
      <w:r w:rsidR="00DD7BFE" w:rsidRPr="002B1AB7">
        <w:rPr>
          <w:sz w:val="28"/>
          <w:szCs w:val="28"/>
        </w:rPr>
        <w:t xml:space="preserve">articipação da riqueza nacional, ganhando uma posição em relação ano </w:t>
      </w:r>
      <w:r w:rsidR="00EB10FD" w:rsidRPr="002B1AB7">
        <w:rPr>
          <w:sz w:val="28"/>
          <w:szCs w:val="28"/>
        </w:rPr>
        <w:t>de 2012</w:t>
      </w:r>
      <w:r w:rsidR="009F35DF" w:rsidRPr="002B1AB7">
        <w:rPr>
          <w:sz w:val="28"/>
          <w:szCs w:val="28"/>
        </w:rPr>
        <w:t xml:space="preserve"> </w:t>
      </w:r>
      <w:r w:rsidR="00DD7BFE" w:rsidRPr="002B1AB7">
        <w:rPr>
          <w:sz w:val="28"/>
          <w:szCs w:val="28"/>
        </w:rPr>
        <w:t>(23ª).</w:t>
      </w:r>
    </w:p>
    <w:p w:rsidR="00A37B44" w:rsidRPr="002B1AB7" w:rsidRDefault="00A37B44" w:rsidP="007F08F0">
      <w:pPr>
        <w:jc w:val="center"/>
        <w:rPr>
          <w:b/>
          <w:sz w:val="32"/>
          <w:szCs w:val="32"/>
        </w:rPr>
      </w:pPr>
      <w:r w:rsidRPr="002B1AB7">
        <w:rPr>
          <w:b/>
          <w:sz w:val="32"/>
          <w:szCs w:val="32"/>
        </w:rPr>
        <w:t xml:space="preserve">Gráfico 02 – Piauí – Evolução do PIB </w:t>
      </w:r>
      <w:r w:rsidR="00815968" w:rsidRPr="002B1AB7">
        <w:rPr>
          <w:b/>
          <w:sz w:val="32"/>
          <w:szCs w:val="32"/>
        </w:rPr>
        <w:t xml:space="preserve">(R$ milhões) </w:t>
      </w:r>
      <w:r w:rsidR="00852606" w:rsidRPr="002B1AB7">
        <w:rPr>
          <w:b/>
          <w:sz w:val="32"/>
          <w:szCs w:val="32"/>
        </w:rPr>
        <w:t>2010 -</w:t>
      </w:r>
      <w:r w:rsidRPr="002B1AB7">
        <w:rPr>
          <w:b/>
          <w:sz w:val="32"/>
          <w:szCs w:val="32"/>
        </w:rPr>
        <w:t>201</w:t>
      </w:r>
      <w:r w:rsidR="00852606" w:rsidRPr="002B1AB7">
        <w:rPr>
          <w:b/>
          <w:sz w:val="32"/>
          <w:szCs w:val="32"/>
        </w:rPr>
        <w:t>3</w:t>
      </w:r>
    </w:p>
    <w:p w:rsidR="00197168" w:rsidRPr="003B16D0" w:rsidRDefault="004A6E43" w:rsidP="003B16D0">
      <w:pPr>
        <w:spacing w:after="0" w:line="240" w:lineRule="auto"/>
        <w:jc w:val="both"/>
        <w:rPr>
          <w:b/>
          <w:sz w:val="18"/>
          <w:szCs w:val="18"/>
        </w:rPr>
      </w:pPr>
      <w:r>
        <w:rPr>
          <w:noProof/>
        </w:rPr>
        <w:drawing>
          <wp:inline distT="0" distB="0" distL="0" distR="0" wp14:anchorId="7EEEC6E2" wp14:editId="2950CF01">
            <wp:extent cx="5705475" cy="27432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370A" w:rsidRDefault="00AB370A" w:rsidP="00AB370A">
      <w:pPr>
        <w:spacing w:line="240" w:lineRule="auto"/>
        <w:jc w:val="both"/>
        <w:rPr>
          <w:sz w:val="18"/>
          <w:szCs w:val="18"/>
        </w:rPr>
      </w:pPr>
      <w:r w:rsidRPr="00AB370A">
        <w:rPr>
          <w:sz w:val="18"/>
          <w:szCs w:val="18"/>
        </w:rPr>
        <w:t>Fonte: IBGE, Diretoria de Pesquisa, Coordenação de Contas Nacionais</w:t>
      </w:r>
      <w:r>
        <w:rPr>
          <w:sz w:val="18"/>
          <w:szCs w:val="18"/>
        </w:rPr>
        <w:t xml:space="preserve">; Elaboração: Fundação </w:t>
      </w:r>
      <w:proofErr w:type="spellStart"/>
      <w:r w:rsidR="00870EEE">
        <w:rPr>
          <w:sz w:val="18"/>
          <w:szCs w:val="18"/>
        </w:rPr>
        <w:t>Cepro</w:t>
      </w:r>
      <w:proofErr w:type="spellEnd"/>
      <w:r w:rsidR="00870EEE">
        <w:rPr>
          <w:sz w:val="18"/>
          <w:szCs w:val="18"/>
        </w:rPr>
        <w:t>.</w:t>
      </w:r>
    </w:p>
    <w:p w:rsidR="00E461A6" w:rsidRDefault="00E461A6" w:rsidP="00AB370A">
      <w:pPr>
        <w:spacing w:line="240" w:lineRule="auto"/>
        <w:jc w:val="both"/>
        <w:rPr>
          <w:sz w:val="18"/>
          <w:szCs w:val="18"/>
        </w:rPr>
      </w:pPr>
    </w:p>
    <w:p w:rsidR="007F08F0" w:rsidRPr="002B1AB7" w:rsidRDefault="007F08F0" w:rsidP="007F08F0">
      <w:pPr>
        <w:spacing w:after="120" w:line="360" w:lineRule="auto"/>
        <w:ind w:firstLine="567"/>
        <w:jc w:val="both"/>
        <w:rPr>
          <w:sz w:val="28"/>
          <w:szCs w:val="28"/>
        </w:rPr>
      </w:pPr>
      <w:r w:rsidRPr="002B1AB7">
        <w:rPr>
          <w:sz w:val="28"/>
          <w:szCs w:val="28"/>
        </w:rPr>
        <w:t>No tocante ao PIB em valores correntes dos ú</w:t>
      </w:r>
      <w:r w:rsidR="008A772B">
        <w:rPr>
          <w:sz w:val="28"/>
          <w:szCs w:val="28"/>
        </w:rPr>
        <w:t>ltimos anos em estudo, percebe-</w:t>
      </w:r>
      <w:r w:rsidRPr="002B1AB7">
        <w:rPr>
          <w:sz w:val="28"/>
          <w:szCs w:val="28"/>
        </w:rPr>
        <w:t xml:space="preserve">se aumento no valor, ou seja, houve aumento no fluxo de produção, </w:t>
      </w:r>
      <w:r w:rsidR="007F7621">
        <w:rPr>
          <w:sz w:val="28"/>
          <w:szCs w:val="28"/>
        </w:rPr>
        <w:t xml:space="preserve">conforme demonstrado no </w:t>
      </w:r>
      <w:proofErr w:type="gramStart"/>
      <w:r w:rsidR="007F7621">
        <w:rPr>
          <w:sz w:val="28"/>
          <w:szCs w:val="28"/>
        </w:rPr>
        <w:t xml:space="preserve">Gráfico </w:t>
      </w:r>
      <w:r w:rsidRPr="002B1AB7">
        <w:rPr>
          <w:sz w:val="28"/>
          <w:szCs w:val="28"/>
        </w:rPr>
        <w:t>02</w:t>
      </w:r>
      <w:proofErr w:type="gramEnd"/>
      <w:r w:rsidRPr="002B1AB7">
        <w:rPr>
          <w:sz w:val="28"/>
          <w:szCs w:val="28"/>
        </w:rPr>
        <w:t xml:space="preserve">. Tomando por base o ano de 2010, </w:t>
      </w:r>
      <w:r w:rsidRPr="002B1AB7">
        <w:rPr>
          <w:sz w:val="28"/>
          <w:szCs w:val="28"/>
        </w:rPr>
        <w:lastRenderedPageBreak/>
        <w:t>houve acréscimo médio no PIB</w:t>
      </w:r>
      <w:r w:rsidR="00221719">
        <w:rPr>
          <w:sz w:val="28"/>
          <w:szCs w:val="28"/>
        </w:rPr>
        <w:t>,</w:t>
      </w:r>
      <w:r w:rsidRPr="002B1AB7">
        <w:rPr>
          <w:sz w:val="28"/>
          <w:szCs w:val="28"/>
        </w:rPr>
        <w:t xml:space="preserve"> nesses últimos quatro anos</w:t>
      </w:r>
      <w:r w:rsidR="00221719">
        <w:rPr>
          <w:sz w:val="28"/>
          <w:szCs w:val="28"/>
        </w:rPr>
        <w:t>,</w:t>
      </w:r>
      <w:r w:rsidRPr="002B1AB7">
        <w:rPr>
          <w:sz w:val="28"/>
          <w:szCs w:val="28"/>
        </w:rPr>
        <w:t xml:space="preserve"> de R$</w:t>
      </w:r>
      <w:r w:rsidR="00221719">
        <w:rPr>
          <w:sz w:val="28"/>
          <w:szCs w:val="28"/>
        </w:rPr>
        <w:t xml:space="preserve"> </w:t>
      </w:r>
      <w:r w:rsidRPr="002B1AB7">
        <w:rPr>
          <w:sz w:val="28"/>
          <w:szCs w:val="28"/>
        </w:rPr>
        <w:t>2.242milhões ao ano.</w:t>
      </w:r>
    </w:p>
    <w:p w:rsidR="00A50B0C" w:rsidRPr="002B1AB7" w:rsidRDefault="00A50B0C" w:rsidP="00AB370A">
      <w:pPr>
        <w:spacing w:line="240" w:lineRule="auto"/>
        <w:jc w:val="both"/>
        <w:rPr>
          <w:sz w:val="18"/>
          <w:szCs w:val="18"/>
        </w:rPr>
      </w:pPr>
    </w:p>
    <w:p w:rsidR="000B43F1" w:rsidRPr="002B1AB7" w:rsidRDefault="00D511D9" w:rsidP="009369AB">
      <w:pPr>
        <w:spacing w:after="120" w:line="360" w:lineRule="auto"/>
        <w:ind w:firstLine="567"/>
        <w:jc w:val="both"/>
        <w:rPr>
          <w:sz w:val="28"/>
          <w:szCs w:val="28"/>
        </w:rPr>
      </w:pPr>
      <w:r>
        <w:rPr>
          <w:sz w:val="28"/>
          <w:szCs w:val="28"/>
        </w:rPr>
        <w:t>Ao observar</w:t>
      </w:r>
      <w:r w:rsidR="00801995">
        <w:rPr>
          <w:sz w:val="28"/>
          <w:szCs w:val="28"/>
        </w:rPr>
        <w:t>mos</w:t>
      </w:r>
      <w:r w:rsidR="00A37B44" w:rsidRPr="002B1AB7">
        <w:rPr>
          <w:sz w:val="28"/>
          <w:szCs w:val="28"/>
        </w:rPr>
        <w:t xml:space="preserve"> o valor nominal</w:t>
      </w:r>
      <w:r w:rsidR="00220949" w:rsidRPr="002B1AB7">
        <w:rPr>
          <w:sz w:val="28"/>
          <w:szCs w:val="28"/>
        </w:rPr>
        <w:t xml:space="preserve"> </w:t>
      </w:r>
      <w:r w:rsidR="00A37B44" w:rsidRPr="002B1AB7">
        <w:rPr>
          <w:sz w:val="28"/>
          <w:szCs w:val="28"/>
        </w:rPr>
        <w:t>do PIB</w:t>
      </w:r>
      <w:r w:rsidR="00220949" w:rsidRPr="002B1AB7">
        <w:rPr>
          <w:sz w:val="28"/>
          <w:szCs w:val="28"/>
        </w:rPr>
        <w:t xml:space="preserve"> </w:t>
      </w:r>
      <w:r w:rsidR="00A37B44" w:rsidRPr="002B1AB7">
        <w:rPr>
          <w:sz w:val="28"/>
          <w:szCs w:val="28"/>
        </w:rPr>
        <w:t>do Estado</w:t>
      </w:r>
      <w:r w:rsidR="00220949" w:rsidRPr="002B1AB7">
        <w:rPr>
          <w:sz w:val="28"/>
          <w:szCs w:val="28"/>
        </w:rPr>
        <w:t xml:space="preserve"> </w:t>
      </w:r>
      <w:r w:rsidR="00A37B44" w:rsidRPr="002B1AB7">
        <w:rPr>
          <w:sz w:val="28"/>
          <w:szCs w:val="28"/>
        </w:rPr>
        <w:t xml:space="preserve">nos últimos </w:t>
      </w:r>
      <w:r w:rsidR="00FB373A" w:rsidRPr="002B1AB7">
        <w:rPr>
          <w:sz w:val="28"/>
          <w:szCs w:val="28"/>
        </w:rPr>
        <w:t>quatro</w:t>
      </w:r>
      <w:r w:rsidR="00A37B44" w:rsidRPr="002B1AB7">
        <w:rPr>
          <w:sz w:val="28"/>
          <w:szCs w:val="28"/>
        </w:rPr>
        <w:t xml:space="preserve"> anos, </w:t>
      </w:r>
      <w:r w:rsidR="00220949" w:rsidRPr="002B1AB7">
        <w:rPr>
          <w:sz w:val="28"/>
          <w:szCs w:val="28"/>
        </w:rPr>
        <w:t>ou seja,</w:t>
      </w:r>
      <w:r w:rsidR="00A37B44" w:rsidRPr="002B1AB7">
        <w:rPr>
          <w:sz w:val="28"/>
          <w:szCs w:val="28"/>
        </w:rPr>
        <w:t xml:space="preserve"> </w:t>
      </w:r>
      <w:r w:rsidR="006817FA" w:rsidRPr="002B1AB7">
        <w:rPr>
          <w:sz w:val="28"/>
          <w:szCs w:val="28"/>
        </w:rPr>
        <w:t xml:space="preserve">entre </w:t>
      </w:r>
      <w:r w:rsidR="00A37B44" w:rsidRPr="002B1AB7">
        <w:rPr>
          <w:sz w:val="28"/>
          <w:szCs w:val="28"/>
        </w:rPr>
        <w:t>2</w:t>
      </w:r>
      <w:r w:rsidR="00FB373A" w:rsidRPr="002B1AB7">
        <w:rPr>
          <w:sz w:val="28"/>
          <w:szCs w:val="28"/>
        </w:rPr>
        <w:t xml:space="preserve">010 </w:t>
      </w:r>
      <w:r w:rsidR="00A37B44" w:rsidRPr="002B1AB7">
        <w:rPr>
          <w:sz w:val="28"/>
          <w:szCs w:val="28"/>
        </w:rPr>
        <w:t>(</w:t>
      </w:r>
      <w:r w:rsidR="00913FCF" w:rsidRPr="002B1AB7">
        <w:rPr>
          <w:sz w:val="28"/>
          <w:szCs w:val="28"/>
        </w:rPr>
        <w:t>R$ 22.271</w:t>
      </w:r>
      <w:r w:rsidR="00FB373A" w:rsidRPr="002B1AB7">
        <w:rPr>
          <w:sz w:val="28"/>
          <w:szCs w:val="28"/>
        </w:rPr>
        <w:t xml:space="preserve"> </w:t>
      </w:r>
      <w:r w:rsidR="00C92C32" w:rsidRPr="002B1AB7">
        <w:rPr>
          <w:sz w:val="28"/>
          <w:szCs w:val="28"/>
        </w:rPr>
        <w:t>m</w:t>
      </w:r>
      <w:r w:rsidR="00A37B44" w:rsidRPr="002B1AB7">
        <w:rPr>
          <w:sz w:val="28"/>
          <w:szCs w:val="28"/>
        </w:rPr>
        <w:t>ilhões) e 201</w:t>
      </w:r>
      <w:r w:rsidR="00FB373A" w:rsidRPr="002B1AB7">
        <w:rPr>
          <w:sz w:val="28"/>
          <w:szCs w:val="28"/>
        </w:rPr>
        <w:t xml:space="preserve">3 </w:t>
      </w:r>
      <w:r w:rsidR="00A37B44" w:rsidRPr="002B1AB7">
        <w:rPr>
          <w:sz w:val="28"/>
          <w:szCs w:val="28"/>
        </w:rPr>
        <w:t>(</w:t>
      </w:r>
      <w:r w:rsidR="00913FCF" w:rsidRPr="002B1AB7">
        <w:rPr>
          <w:sz w:val="28"/>
          <w:szCs w:val="28"/>
        </w:rPr>
        <w:t>R$ 31.240</w:t>
      </w:r>
      <w:r w:rsidR="00C92C32" w:rsidRPr="002B1AB7">
        <w:rPr>
          <w:sz w:val="28"/>
          <w:szCs w:val="28"/>
        </w:rPr>
        <w:t xml:space="preserve"> m</w:t>
      </w:r>
      <w:r w:rsidR="00A37B44" w:rsidRPr="002B1AB7">
        <w:rPr>
          <w:sz w:val="28"/>
          <w:szCs w:val="28"/>
        </w:rPr>
        <w:t>ilhões</w:t>
      </w:r>
      <w:r w:rsidR="00220949" w:rsidRPr="002B1AB7">
        <w:rPr>
          <w:sz w:val="28"/>
          <w:szCs w:val="28"/>
        </w:rPr>
        <w:t xml:space="preserve">) </w:t>
      </w:r>
      <w:r w:rsidR="00801995">
        <w:rPr>
          <w:sz w:val="28"/>
          <w:szCs w:val="28"/>
        </w:rPr>
        <w:t>verifica</w:t>
      </w:r>
      <w:r w:rsidR="00FB373A" w:rsidRPr="002B1AB7">
        <w:rPr>
          <w:sz w:val="28"/>
          <w:szCs w:val="28"/>
        </w:rPr>
        <w:t>-se q</w:t>
      </w:r>
      <w:r w:rsidR="00C92C32" w:rsidRPr="002B1AB7">
        <w:rPr>
          <w:sz w:val="28"/>
          <w:szCs w:val="28"/>
        </w:rPr>
        <w:t>ue</w:t>
      </w:r>
      <w:r w:rsidR="003B6608" w:rsidRPr="002B1AB7">
        <w:rPr>
          <w:sz w:val="28"/>
          <w:szCs w:val="28"/>
        </w:rPr>
        <w:t xml:space="preserve"> houve um crescimento de </w:t>
      </w:r>
      <w:r w:rsidR="00EC126D" w:rsidRPr="002B1AB7">
        <w:rPr>
          <w:sz w:val="28"/>
          <w:szCs w:val="28"/>
        </w:rPr>
        <w:t>40,27</w:t>
      </w:r>
      <w:r w:rsidR="00FB373A" w:rsidRPr="002B1AB7">
        <w:rPr>
          <w:sz w:val="28"/>
          <w:szCs w:val="28"/>
        </w:rPr>
        <w:t xml:space="preserve">%. </w:t>
      </w:r>
    </w:p>
    <w:p w:rsidR="002F684D" w:rsidRPr="002B1AB7" w:rsidRDefault="002F684D" w:rsidP="003B16D0">
      <w:pPr>
        <w:spacing w:after="120" w:line="360" w:lineRule="auto"/>
        <w:ind w:firstLine="567"/>
        <w:jc w:val="both"/>
        <w:rPr>
          <w:b/>
          <w:sz w:val="28"/>
          <w:szCs w:val="28"/>
        </w:rPr>
      </w:pPr>
      <w:r w:rsidRPr="002B1AB7">
        <w:rPr>
          <w:b/>
          <w:sz w:val="28"/>
          <w:szCs w:val="28"/>
        </w:rPr>
        <w:t>PIB per capita</w:t>
      </w:r>
    </w:p>
    <w:p w:rsidR="000B43F1" w:rsidRPr="002B1AB7" w:rsidRDefault="002F684D" w:rsidP="009369AB">
      <w:pPr>
        <w:spacing w:after="120" w:line="360" w:lineRule="auto"/>
        <w:ind w:firstLine="567"/>
        <w:jc w:val="both"/>
        <w:rPr>
          <w:sz w:val="28"/>
          <w:szCs w:val="28"/>
        </w:rPr>
      </w:pPr>
      <w:r w:rsidRPr="002B1AB7">
        <w:rPr>
          <w:sz w:val="28"/>
          <w:szCs w:val="28"/>
        </w:rPr>
        <w:t>No ano de 201</w:t>
      </w:r>
      <w:r w:rsidR="00290D0E" w:rsidRPr="002B1AB7">
        <w:rPr>
          <w:sz w:val="28"/>
          <w:szCs w:val="28"/>
        </w:rPr>
        <w:t>3</w:t>
      </w:r>
      <w:r w:rsidRPr="002B1AB7">
        <w:rPr>
          <w:sz w:val="28"/>
          <w:szCs w:val="28"/>
        </w:rPr>
        <w:t xml:space="preserve"> o Piauí alcançou </w:t>
      </w:r>
      <w:r w:rsidR="00FF5E5C" w:rsidRPr="002B1AB7">
        <w:rPr>
          <w:sz w:val="28"/>
          <w:szCs w:val="28"/>
        </w:rPr>
        <w:t>um PIB per capita de R$</w:t>
      </w:r>
      <w:r w:rsidR="005B0FE7" w:rsidRPr="002B1AB7">
        <w:rPr>
          <w:sz w:val="28"/>
          <w:szCs w:val="28"/>
        </w:rPr>
        <w:t xml:space="preserve"> </w:t>
      </w:r>
      <w:r w:rsidR="00290D0E" w:rsidRPr="002B1AB7">
        <w:rPr>
          <w:sz w:val="28"/>
          <w:szCs w:val="28"/>
        </w:rPr>
        <w:t>9.811,04</w:t>
      </w:r>
      <w:r w:rsidR="00FF5E5C" w:rsidRPr="002B1AB7">
        <w:rPr>
          <w:sz w:val="28"/>
          <w:szCs w:val="28"/>
        </w:rPr>
        <w:t>, ante R$</w:t>
      </w:r>
      <w:r w:rsidR="00F647DD">
        <w:rPr>
          <w:sz w:val="28"/>
          <w:szCs w:val="28"/>
        </w:rPr>
        <w:t xml:space="preserve"> 9.056,89 em</w:t>
      </w:r>
      <w:r w:rsidR="005B0FE7" w:rsidRPr="002B1AB7">
        <w:rPr>
          <w:sz w:val="28"/>
          <w:szCs w:val="28"/>
        </w:rPr>
        <w:t xml:space="preserve"> 2012</w:t>
      </w:r>
      <w:r w:rsidR="00FF5E5C" w:rsidRPr="002B1AB7">
        <w:rPr>
          <w:sz w:val="28"/>
          <w:szCs w:val="28"/>
        </w:rPr>
        <w:t xml:space="preserve">. O PIB per capita corresponde à divisão do PIB pela população residente. Este dado é encaminhado oficialmente pelo IBGE ao Tribunal de Contas da União – </w:t>
      </w:r>
      <w:r w:rsidR="00220949" w:rsidRPr="002B1AB7">
        <w:rPr>
          <w:sz w:val="28"/>
          <w:szCs w:val="28"/>
        </w:rPr>
        <w:t>TCU,</w:t>
      </w:r>
      <w:r w:rsidR="00FF5E5C" w:rsidRPr="002B1AB7">
        <w:rPr>
          <w:sz w:val="28"/>
          <w:szCs w:val="28"/>
        </w:rPr>
        <w:t xml:space="preserve"> para utilização como um dos critérios de rateio do cálcul</w:t>
      </w:r>
      <w:r w:rsidR="005B0FE7" w:rsidRPr="002B1AB7">
        <w:rPr>
          <w:sz w:val="28"/>
          <w:szCs w:val="28"/>
        </w:rPr>
        <w:t>o do Fundo de Participação dos E</w:t>
      </w:r>
      <w:r w:rsidR="00FF5E5C" w:rsidRPr="002B1AB7">
        <w:rPr>
          <w:sz w:val="28"/>
          <w:szCs w:val="28"/>
        </w:rPr>
        <w:t>stados (FP</w:t>
      </w:r>
      <w:r w:rsidR="00177629" w:rsidRPr="002B1AB7">
        <w:rPr>
          <w:sz w:val="28"/>
          <w:szCs w:val="28"/>
        </w:rPr>
        <w:t>E</w:t>
      </w:r>
      <w:r w:rsidR="00220949" w:rsidRPr="002B1AB7">
        <w:rPr>
          <w:sz w:val="28"/>
          <w:szCs w:val="28"/>
        </w:rPr>
        <w:t>).</w:t>
      </w:r>
    </w:p>
    <w:p w:rsidR="00DC4578" w:rsidRPr="002B1AB7" w:rsidRDefault="003A145C" w:rsidP="008703DA">
      <w:pPr>
        <w:jc w:val="center"/>
        <w:rPr>
          <w:b/>
          <w:sz w:val="32"/>
          <w:szCs w:val="32"/>
        </w:rPr>
      </w:pPr>
      <w:r w:rsidRPr="002B1AB7">
        <w:rPr>
          <w:b/>
          <w:sz w:val="32"/>
          <w:szCs w:val="32"/>
        </w:rPr>
        <w:t>Tabela</w:t>
      </w:r>
      <w:r w:rsidR="00FF5E5C" w:rsidRPr="002B1AB7">
        <w:rPr>
          <w:b/>
          <w:sz w:val="32"/>
          <w:szCs w:val="32"/>
        </w:rPr>
        <w:t xml:space="preserve"> 01 – Piauí e </w:t>
      </w:r>
      <w:r w:rsidR="00220949" w:rsidRPr="002B1AB7">
        <w:rPr>
          <w:b/>
          <w:sz w:val="32"/>
          <w:szCs w:val="32"/>
        </w:rPr>
        <w:t xml:space="preserve">Brasil: PIB, </w:t>
      </w:r>
      <w:r w:rsidR="00FF5E5C" w:rsidRPr="002B1AB7">
        <w:rPr>
          <w:b/>
          <w:sz w:val="32"/>
          <w:szCs w:val="32"/>
        </w:rPr>
        <w:t xml:space="preserve">PIB per capita e </w:t>
      </w:r>
      <w:proofErr w:type="gramStart"/>
      <w:r w:rsidR="00FF5E5C" w:rsidRPr="002B1AB7">
        <w:rPr>
          <w:b/>
          <w:sz w:val="32"/>
          <w:szCs w:val="32"/>
        </w:rPr>
        <w:t>Ta</w:t>
      </w:r>
      <w:r w:rsidR="00DC4578" w:rsidRPr="002B1AB7">
        <w:rPr>
          <w:b/>
          <w:sz w:val="32"/>
          <w:szCs w:val="32"/>
        </w:rPr>
        <w:t>xa</w:t>
      </w:r>
      <w:proofErr w:type="gramEnd"/>
      <w:r w:rsidR="00DC4578" w:rsidRPr="002B1AB7">
        <w:rPr>
          <w:b/>
          <w:sz w:val="32"/>
          <w:szCs w:val="32"/>
        </w:rPr>
        <w:t xml:space="preserve"> de Crescimento Piauí e </w:t>
      </w:r>
      <w:r w:rsidR="00870EEE" w:rsidRPr="002B1AB7">
        <w:rPr>
          <w:b/>
          <w:sz w:val="32"/>
          <w:szCs w:val="32"/>
        </w:rPr>
        <w:t>Brasil.</w:t>
      </w:r>
    </w:p>
    <w:tbl>
      <w:tblPr>
        <w:tblW w:w="8946" w:type="dxa"/>
        <w:tblInd w:w="55" w:type="dxa"/>
        <w:tblCellMar>
          <w:left w:w="70" w:type="dxa"/>
          <w:right w:w="70" w:type="dxa"/>
        </w:tblCellMar>
        <w:tblLook w:val="04A0" w:firstRow="1" w:lastRow="0" w:firstColumn="1" w:lastColumn="0" w:noHBand="0" w:noVBand="1"/>
      </w:tblPr>
      <w:tblGrid>
        <w:gridCol w:w="903"/>
        <w:gridCol w:w="1301"/>
        <w:gridCol w:w="1515"/>
        <w:gridCol w:w="1096"/>
        <w:gridCol w:w="641"/>
        <w:gridCol w:w="2460"/>
        <w:gridCol w:w="1030"/>
      </w:tblGrid>
      <w:tr w:rsidR="00E23C30" w:rsidRPr="00E23C30" w:rsidTr="00E23C30">
        <w:trPr>
          <w:trHeight w:val="525"/>
        </w:trPr>
        <w:tc>
          <w:tcPr>
            <w:tcW w:w="912" w:type="dxa"/>
            <w:vMerge w:val="restart"/>
            <w:tcBorders>
              <w:top w:val="single" w:sz="12" w:space="0" w:color="auto"/>
              <w:left w:val="nil"/>
              <w:bottom w:val="single" w:sz="12" w:space="0" w:color="000000"/>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color w:val="FFFFFF"/>
                <w:sz w:val="20"/>
                <w:szCs w:val="20"/>
              </w:rPr>
            </w:pPr>
            <w:r w:rsidRPr="00E23C30">
              <w:rPr>
                <w:rFonts w:ascii="Arial" w:eastAsia="Times New Roman" w:hAnsi="Arial" w:cs="Arial"/>
                <w:b/>
                <w:bCs/>
                <w:color w:val="FFFFFF"/>
                <w:sz w:val="20"/>
                <w:szCs w:val="20"/>
              </w:rPr>
              <w:t> </w:t>
            </w:r>
          </w:p>
        </w:tc>
        <w:tc>
          <w:tcPr>
            <w:tcW w:w="4490" w:type="dxa"/>
            <w:gridSpan w:val="4"/>
            <w:vMerge w:val="restart"/>
            <w:tcBorders>
              <w:top w:val="single" w:sz="12" w:space="0" w:color="auto"/>
              <w:left w:val="nil"/>
              <w:bottom w:val="single" w:sz="12" w:space="0" w:color="000000"/>
              <w:right w:val="single" w:sz="4" w:space="0" w:color="000000"/>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Produto Interno Bruto</w:t>
            </w:r>
          </w:p>
        </w:tc>
        <w:tc>
          <w:tcPr>
            <w:tcW w:w="3544" w:type="dxa"/>
            <w:gridSpan w:val="2"/>
            <w:vMerge w:val="restart"/>
            <w:tcBorders>
              <w:top w:val="single" w:sz="12" w:space="0" w:color="auto"/>
              <w:left w:val="single" w:sz="4" w:space="0" w:color="auto"/>
              <w:bottom w:val="single" w:sz="12" w:space="0" w:color="000000"/>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PIB Per Capita</w:t>
            </w:r>
          </w:p>
        </w:tc>
      </w:tr>
      <w:tr w:rsidR="00E23C30" w:rsidRPr="00E23C30" w:rsidTr="00E23C30">
        <w:trPr>
          <w:trHeight w:val="315"/>
        </w:trPr>
        <w:tc>
          <w:tcPr>
            <w:tcW w:w="912" w:type="dxa"/>
            <w:vMerge/>
            <w:tcBorders>
              <w:top w:val="single" w:sz="12" w:space="0" w:color="auto"/>
              <w:left w:val="nil"/>
              <w:bottom w:val="single" w:sz="12" w:space="0" w:color="000000"/>
              <w:right w:val="nil"/>
            </w:tcBorders>
            <w:vAlign w:val="center"/>
            <w:hideMark/>
          </w:tcPr>
          <w:p w:rsidR="00E23C30" w:rsidRPr="00E23C30" w:rsidRDefault="00E23C30" w:rsidP="00E23C30">
            <w:pPr>
              <w:spacing w:after="0" w:line="240" w:lineRule="auto"/>
              <w:rPr>
                <w:rFonts w:ascii="Arial" w:eastAsia="Times New Roman" w:hAnsi="Arial" w:cs="Arial"/>
                <w:b/>
                <w:bCs/>
                <w:color w:val="FFFFFF"/>
                <w:sz w:val="20"/>
                <w:szCs w:val="20"/>
              </w:rPr>
            </w:pPr>
          </w:p>
        </w:tc>
        <w:tc>
          <w:tcPr>
            <w:tcW w:w="4490" w:type="dxa"/>
            <w:gridSpan w:val="4"/>
            <w:vMerge/>
            <w:tcBorders>
              <w:top w:val="single" w:sz="12" w:space="0" w:color="auto"/>
              <w:left w:val="nil"/>
              <w:bottom w:val="single" w:sz="12" w:space="0" w:color="000000"/>
              <w:right w:val="single" w:sz="4" w:space="0" w:color="000000"/>
            </w:tcBorders>
            <w:vAlign w:val="center"/>
            <w:hideMark/>
          </w:tcPr>
          <w:p w:rsidR="00E23C30" w:rsidRPr="00E23C30" w:rsidRDefault="00E23C30" w:rsidP="00E23C30">
            <w:pPr>
              <w:spacing w:after="0" w:line="240" w:lineRule="auto"/>
              <w:rPr>
                <w:rFonts w:ascii="Arial" w:eastAsia="Times New Roman" w:hAnsi="Arial" w:cs="Arial"/>
                <w:b/>
                <w:bCs/>
                <w:sz w:val="20"/>
                <w:szCs w:val="20"/>
              </w:rPr>
            </w:pPr>
          </w:p>
        </w:tc>
        <w:tc>
          <w:tcPr>
            <w:tcW w:w="3544" w:type="dxa"/>
            <w:gridSpan w:val="2"/>
            <w:vMerge/>
            <w:tcBorders>
              <w:top w:val="single" w:sz="12" w:space="0" w:color="auto"/>
              <w:left w:val="single" w:sz="4" w:space="0" w:color="auto"/>
              <w:bottom w:val="single" w:sz="12" w:space="0" w:color="000000"/>
              <w:right w:val="nil"/>
            </w:tcBorders>
            <w:vAlign w:val="center"/>
            <w:hideMark/>
          </w:tcPr>
          <w:p w:rsidR="00E23C30" w:rsidRPr="00E23C30" w:rsidRDefault="00E23C30" w:rsidP="00E23C30">
            <w:pPr>
              <w:spacing w:after="0" w:line="240" w:lineRule="auto"/>
              <w:rPr>
                <w:rFonts w:ascii="Arial" w:eastAsia="Times New Roman" w:hAnsi="Arial" w:cs="Arial"/>
                <w:b/>
                <w:bCs/>
                <w:sz w:val="20"/>
                <w:szCs w:val="20"/>
              </w:rPr>
            </w:pPr>
          </w:p>
        </w:tc>
      </w:tr>
      <w:tr w:rsidR="00E23C30" w:rsidRPr="00E23C30" w:rsidTr="00E23C30">
        <w:trPr>
          <w:trHeight w:val="315"/>
        </w:trPr>
        <w:tc>
          <w:tcPr>
            <w:tcW w:w="912" w:type="dxa"/>
            <w:vMerge w:val="restart"/>
            <w:tcBorders>
              <w:top w:val="nil"/>
              <w:left w:val="nil"/>
              <w:bottom w:val="nil"/>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color w:val="FFFFFF"/>
                <w:sz w:val="20"/>
                <w:szCs w:val="20"/>
              </w:rPr>
            </w:pPr>
            <w:r w:rsidRPr="00E23C30">
              <w:rPr>
                <w:rFonts w:ascii="Arial" w:eastAsia="Times New Roman" w:hAnsi="Arial" w:cs="Arial"/>
                <w:b/>
                <w:bCs/>
                <w:color w:val="FFFFFF"/>
                <w:sz w:val="20"/>
                <w:szCs w:val="20"/>
              </w:rPr>
              <w:t> </w:t>
            </w:r>
          </w:p>
        </w:tc>
        <w:tc>
          <w:tcPr>
            <w:tcW w:w="2852" w:type="dxa"/>
            <w:gridSpan w:val="2"/>
            <w:tcBorders>
              <w:top w:val="single" w:sz="12" w:space="0" w:color="auto"/>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 </w:t>
            </w:r>
          </w:p>
        </w:tc>
        <w:tc>
          <w:tcPr>
            <w:tcW w:w="1638" w:type="dxa"/>
            <w:gridSpan w:val="2"/>
            <w:tcBorders>
              <w:top w:val="single" w:sz="12" w:space="0" w:color="auto"/>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 </w:t>
            </w:r>
          </w:p>
        </w:tc>
        <w:tc>
          <w:tcPr>
            <w:tcW w:w="3544" w:type="dxa"/>
            <w:gridSpan w:val="2"/>
            <w:tcBorders>
              <w:top w:val="single" w:sz="12" w:space="0" w:color="auto"/>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 </w:t>
            </w:r>
          </w:p>
        </w:tc>
      </w:tr>
      <w:tr w:rsidR="00E23C30" w:rsidRPr="00E23C30" w:rsidTr="00E23C30">
        <w:trPr>
          <w:trHeight w:val="510"/>
        </w:trPr>
        <w:tc>
          <w:tcPr>
            <w:tcW w:w="912" w:type="dxa"/>
            <w:vMerge/>
            <w:tcBorders>
              <w:top w:val="nil"/>
              <w:left w:val="nil"/>
              <w:bottom w:val="nil"/>
              <w:right w:val="nil"/>
            </w:tcBorders>
            <w:vAlign w:val="center"/>
            <w:hideMark/>
          </w:tcPr>
          <w:p w:rsidR="00E23C30" w:rsidRPr="00E23C30" w:rsidRDefault="00E23C30" w:rsidP="00E23C30">
            <w:pPr>
              <w:spacing w:after="0" w:line="240" w:lineRule="auto"/>
              <w:rPr>
                <w:rFonts w:ascii="Arial" w:eastAsia="Times New Roman" w:hAnsi="Arial" w:cs="Arial"/>
                <w:b/>
                <w:bCs/>
                <w:color w:val="FFFFFF"/>
                <w:sz w:val="20"/>
                <w:szCs w:val="20"/>
              </w:rPr>
            </w:pPr>
          </w:p>
        </w:tc>
        <w:tc>
          <w:tcPr>
            <w:tcW w:w="2852" w:type="dxa"/>
            <w:gridSpan w:val="2"/>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Valores Correntes              (Milhões)</w:t>
            </w:r>
          </w:p>
        </w:tc>
        <w:tc>
          <w:tcPr>
            <w:tcW w:w="1638" w:type="dxa"/>
            <w:gridSpan w:val="2"/>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Taxa de Crescimento (%)</w:t>
            </w:r>
          </w:p>
        </w:tc>
        <w:tc>
          <w:tcPr>
            <w:tcW w:w="3544" w:type="dxa"/>
            <w:gridSpan w:val="2"/>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Valores Correntes (R$)</w:t>
            </w:r>
          </w:p>
        </w:tc>
      </w:tr>
      <w:tr w:rsidR="00E23C30" w:rsidRPr="00E23C30" w:rsidTr="00E23C30">
        <w:trPr>
          <w:trHeight w:val="300"/>
        </w:trPr>
        <w:tc>
          <w:tcPr>
            <w:tcW w:w="912" w:type="dxa"/>
            <w:tcBorders>
              <w:top w:val="nil"/>
              <w:left w:val="nil"/>
              <w:bottom w:val="nil"/>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Anos</w:t>
            </w:r>
          </w:p>
        </w:tc>
        <w:tc>
          <w:tcPr>
            <w:tcW w:w="1320" w:type="dxa"/>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Piauí</w:t>
            </w:r>
          </w:p>
        </w:tc>
        <w:tc>
          <w:tcPr>
            <w:tcW w:w="1532" w:type="dxa"/>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Brasil</w:t>
            </w:r>
          </w:p>
        </w:tc>
        <w:tc>
          <w:tcPr>
            <w:tcW w:w="1113" w:type="dxa"/>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Piauí</w:t>
            </w:r>
          </w:p>
        </w:tc>
        <w:tc>
          <w:tcPr>
            <w:tcW w:w="525" w:type="dxa"/>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Brasil</w:t>
            </w:r>
          </w:p>
        </w:tc>
        <w:tc>
          <w:tcPr>
            <w:tcW w:w="2514" w:type="dxa"/>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Piauí</w:t>
            </w:r>
          </w:p>
        </w:tc>
        <w:tc>
          <w:tcPr>
            <w:tcW w:w="1030" w:type="dxa"/>
            <w:tcBorders>
              <w:top w:val="nil"/>
              <w:left w:val="nil"/>
              <w:bottom w:val="single" w:sz="4"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Brasil</w:t>
            </w:r>
          </w:p>
        </w:tc>
      </w:tr>
      <w:tr w:rsidR="00E23C30" w:rsidRPr="00E23C30" w:rsidTr="00E23C30">
        <w:trPr>
          <w:trHeight w:val="300"/>
        </w:trPr>
        <w:tc>
          <w:tcPr>
            <w:tcW w:w="912" w:type="dxa"/>
            <w:tcBorders>
              <w:top w:val="nil"/>
              <w:left w:val="nil"/>
              <w:bottom w:val="nil"/>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2010</w:t>
            </w:r>
          </w:p>
        </w:tc>
        <w:tc>
          <w:tcPr>
            <w:tcW w:w="1320"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22.271</w:t>
            </w:r>
          </w:p>
        </w:tc>
        <w:tc>
          <w:tcPr>
            <w:tcW w:w="1532"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3.885.847</w:t>
            </w:r>
          </w:p>
        </w:tc>
        <w:tc>
          <w:tcPr>
            <w:tcW w:w="1113"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w:t>
            </w:r>
          </w:p>
        </w:tc>
        <w:tc>
          <w:tcPr>
            <w:tcW w:w="525"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w:t>
            </w:r>
          </w:p>
        </w:tc>
        <w:tc>
          <w:tcPr>
            <w:tcW w:w="2514"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7.140,47</w:t>
            </w:r>
          </w:p>
        </w:tc>
        <w:tc>
          <w:tcPr>
            <w:tcW w:w="1030"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20.371,64</w:t>
            </w:r>
          </w:p>
        </w:tc>
      </w:tr>
      <w:tr w:rsidR="00E23C30" w:rsidRPr="00E23C30" w:rsidTr="00E23C30">
        <w:trPr>
          <w:trHeight w:val="300"/>
        </w:trPr>
        <w:tc>
          <w:tcPr>
            <w:tcW w:w="912" w:type="dxa"/>
            <w:tcBorders>
              <w:top w:val="nil"/>
              <w:left w:val="nil"/>
              <w:bottom w:val="nil"/>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2011</w:t>
            </w:r>
          </w:p>
        </w:tc>
        <w:tc>
          <w:tcPr>
            <w:tcW w:w="1320"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25.949</w:t>
            </w:r>
          </w:p>
        </w:tc>
        <w:tc>
          <w:tcPr>
            <w:tcW w:w="1532"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4.373.658</w:t>
            </w:r>
          </w:p>
        </w:tc>
        <w:tc>
          <w:tcPr>
            <w:tcW w:w="1113"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5,2</w:t>
            </w:r>
          </w:p>
        </w:tc>
        <w:tc>
          <w:tcPr>
            <w:tcW w:w="525"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3,9</w:t>
            </w:r>
          </w:p>
        </w:tc>
        <w:tc>
          <w:tcPr>
            <w:tcW w:w="2514"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8.263,02</w:t>
            </w:r>
          </w:p>
        </w:tc>
        <w:tc>
          <w:tcPr>
            <w:tcW w:w="1030"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22.734,56</w:t>
            </w:r>
          </w:p>
        </w:tc>
      </w:tr>
      <w:tr w:rsidR="00E23C30" w:rsidRPr="00E23C30" w:rsidTr="00E23C30">
        <w:trPr>
          <w:trHeight w:val="300"/>
        </w:trPr>
        <w:tc>
          <w:tcPr>
            <w:tcW w:w="912" w:type="dxa"/>
            <w:tcBorders>
              <w:top w:val="nil"/>
              <w:left w:val="nil"/>
              <w:bottom w:val="nil"/>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2012</w:t>
            </w:r>
          </w:p>
        </w:tc>
        <w:tc>
          <w:tcPr>
            <w:tcW w:w="1320"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28.627</w:t>
            </w:r>
          </w:p>
        </w:tc>
        <w:tc>
          <w:tcPr>
            <w:tcW w:w="1532"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4.805.913</w:t>
            </w:r>
          </w:p>
        </w:tc>
        <w:tc>
          <w:tcPr>
            <w:tcW w:w="1113"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5,3</w:t>
            </w:r>
          </w:p>
        </w:tc>
        <w:tc>
          <w:tcPr>
            <w:tcW w:w="525"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1,9</w:t>
            </w:r>
          </w:p>
        </w:tc>
        <w:tc>
          <w:tcPr>
            <w:tcW w:w="2514"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9.056,89</w:t>
            </w:r>
          </w:p>
        </w:tc>
        <w:tc>
          <w:tcPr>
            <w:tcW w:w="1030" w:type="dxa"/>
            <w:tcBorders>
              <w:top w:val="nil"/>
              <w:left w:val="nil"/>
              <w:bottom w:val="nil"/>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24.779,53</w:t>
            </w:r>
          </w:p>
        </w:tc>
      </w:tr>
      <w:tr w:rsidR="00E23C30" w:rsidRPr="00E23C30" w:rsidTr="00E23C30">
        <w:trPr>
          <w:trHeight w:val="315"/>
        </w:trPr>
        <w:tc>
          <w:tcPr>
            <w:tcW w:w="912" w:type="dxa"/>
            <w:tcBorders>
              <w:top w:val="nil"/>
              <w:left w:val="nil"/>
              <w:bottom w:val="single" w:sz="12" w:space="0" w:color="auto"/>
              <w:right w:val="nil"/>
            </w:tcBorders>
            <w:shd w:val="clear" w:color="000000" w:fill="E26B0A"/>
            <w:vAlign w:val="center"/>
            <w:hideMark/>
          </w:tcPr>
          <w:p w:rsidR="00E23C30" w:rsidRPr="00E23C30" w:rsidRDefault="00E23C30" w:rsidP="00E23C30">
            <w:pPr>
              <w:spacing w:after="0" w:line="240" w:lineRule="auto"/>
              <w:jc w:val="center"/>
              <w:rPr>
                <w:rFonts w:ascii="Arial" w:eastAsia="Times New Roman" w:hAnsi="Arial" w:cs="Arial"/>
                <w:b/>
                <w:bCs/>
                <w:sz w:val="20"/>
                <w:szCs w:val="20"/>
              </w:rPr>
            </w:pPr>
            <w:r w:rsidRPr="00E23C30">
              <w:rPr>
                <w:rFonts w:ascii="Arial" w:eastAsia="Times New Roman" w:hAnsi="Arial" w:cs="Arial"/>
                <w:b/>
                <w:bCs/>
                <w:sz w:val="20"/>
                <w:szCs w:val="20"/>
              </w:rPr>
              <w:t>2013</w:t>
            </w:r>
          </w:p>
        </w:tc>
        <w:tc>
          <w:tcPr>
            <w:tcW w:w="1320" w:type="dxa"/>
            <w:tcBorders>
              <w:top w:val="nil"/>
              <w:left w:val="nil"/>
              <w:bottom w:val="single" w:sz="12"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31.240</w:t>
            </w:r>
          </w:p>
        </w:tc>
        <w:tc>
          <w:tcPr>
            <w:tcW w:w="1532" w:type="dxa"/>
            <w:tcBorders>
              <w:top w:val="nil"/>
              <w:left w:val="nil"/>
              <w:bottom w:val="single" w:sz="12"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5.316.455</w:t>
            </w:r>
          </w:p>
        </w:tc>
        <w:tc>
          <w:tcPr>
            <w:tcW w:w="1113" w:type="dxa"/>
            <w:tcBorders>
              <w:top w:val="nil"/>
              <w:left w:val="nil"/>
              <w:bottom w:val="single" w:sz="12"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2,4</w:t>
            </w:r>
          </w:p>
        </w:tc>
        <w:tc>
          <w:tcPr>
            <w:tcW w:w="525" w:type="dxa"/>
            <w:tcBorders>
              <w:top w:val="nil"/>
              <w:left w:val="nil"/>
              <w:bottom w:val="single" w:sz="12"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3,0</w:t>
            </w:r>
          </w:p>
        </w:tc>
        <w:tc>
          <w:tcPr>
            <w:tcW w:w="2514" w:type="dxa"/>
            <w:tcBorders>
              <w:top w:val="nil"/>
              <w:left w:val="nil"/>
              <w:bottom w:val="single" w:sz="12"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9.811,04</w:t>
            </w:r>
          </w:p>
        </w:tc>
        <w:tc>
          <w:tcPr>
            <w:tcW w:w="1030" w:type="dxa"/>
            <w:tcBorders>
              <w:top w:val="nil"/>
              <w:left w:val="nil"/>
              <w:bottom w:val="single" w:sz="12" w:space="0" w:color="auto"/>
              <w:right w:val="nil"/>
            </w:tcBorders>
            <w:shd w:val="clear" w:color="000000" w:fill="FCD5B4"/>
            <w:vAlign w:val="center"/>
            <w:hideMark/>
          </w:tcPr>
          <w:p w:rsidR="00E23C30" w:rsidRPr="00E23C30" w:rsidRDefault="00E23C30" w:rsidP="00E23C30">
            <w:pPr>
              <w:spacing w:after="0" w:line="240" w:lineRule="auto"/>
              <w:jc w:val="center"/>
              <w:rPr>
                <w:rFonts w:ascii="Arial" w:eastAsia="Times New Roman" w:hAnsi="Arial" w:cs="Arial"/>
                <w:color w:val="000000"/>
                <w:sz w:val="20"/>
                <w:szCs w:val="20"/>
              </w:rPr>
            </w:pPr>
            <w:r w:rsidRPr="00E23C30">
              <w:rPr>
                <w:rFonts w:ascii="Arial" w:eastAsia="Times New Roman" w:hAnsi="Arial" w:cs="Arial"/>
                <w:color w:val="000000"/>
                <w:sz w:val="20"/>
                <w:szCs w:val="20"/>
              </w:rPr>
              <w:t>26.445,72</w:t>
            </w:r>
          </w:p>
        </w:tc>
      </w:tr>
    </w:tbl>
    <w:p w:rsidR="00E60D76" w:rsidRPr="00AB370A" w:rsidRDefault="00E60D76" w:rsidP="00E60D76">
      <w:pPr>
        <w:spacing w:line="240" w:lineRule="auto"/>
        <w:jc w:val="both"/>
        <w:rPr>
          <w:sz w:val="18"/>
          <w:szCs w:val="18"/>
        </w:rPr>
      </w:pPr>
      <w:r w:rsidRPr="00AB370A">
        <w:rPr>
          <w:sz w:val="18"/>
          <w:szCs w:val="18"/>
        </w:rPr>
        <w:t>Fonte: IBGE, Diretoria de Pesquisa, Coordenação de Contas Nacionais</w:t>
      </w:r>
      <w:r>
        <w:rPr>
          <w:sz w:val="18"/>
          <w:szCs w:val="18"/>
        </w:rPr>
        <w:t xml:space="preserve">; Elaboração: Fundação </w:t>
      </w:r>
      <w:proofErr w:type="spellStart"/>
      <w:r w:rsidR="00870EEE">
        <w:rPr>
          <w:sz w:val="18"/>
          <w:szCs w:val="18"/>
        </w:rPr>
        <w:t>Cepro</w:t>
      </w:r>
      <w:proofErr w:type="spellEnd"/>
      <w:r w:rsidR="00870EEE">
        <w:rPr>
          <w:sz w:val="18"/>
          <w:szCs w:val="18"/>
        </w:rPr>
        <w:t>.</w:t>
      </w:r>
    </w:p>
    <w:p w:rsidR="0043436B" w:rsidRPr="00EC4346" w:rsidRDefault="0043436B" w:rsidP="00EC4346">
      <w:pPr>
        <w:spacing w:after="120" w:line="360" w:lineRule="auto"/>
        <w:ind w:firstLine="567"/>
        <w:jc w:val="both"/>
        <w:rPr>
          <w:sz w:val="28"/>
          <w:szCs w:val="28"/>
        </w:rPr>
      </w:pPr>
    </w:p>
    <w:p w:rsidR="00547DCF" w:rsidRDefault="00547DCF" w:rsidP="00F73172">
      <w:pPr>
        <w:spacing w:after="120" w:line="360" w:lineRule="auto"/>
        <w:ind w:firstLine="567"/>
        <w:jc w:val="both"/>
        <w:rPr>
          <w:b/>
          <w:color w:val="548DD4" w:themeColor="text2" w:themeTint="99"/>
          <w:sz w:val="28"/>
          <w:szCs w:val="28"/>
        </w:rPr>
      </w:pPr>
    </w:p>
    <w:p w:rsidR="008C030D" w:rsidRDefault="008C030D" w:rsidP="00F73172">
      <w:pPr>
        <w:spacing w:after="120" w:line="360" w:lineRule="auto"/>
        <w:ind w:firstLine="567"/>
        <w:jc w:val="both"/>
        <w:rPr>
          <w:b/>
          <w:sz w:val="28"/>
          <w:szCs w:val="28"/>
        </w:rPr>
      </w:pPr>
    </w:p>
    <w:p w:rsidR="008C030D" w:rsidRDefault="008C030D" w:rsidP="00F73172">
      <w:pPr>
        <w:spacing w:after="120" w:line="360" w:lineRule="auto"/>
        <w:ind w:firstLine="567"/>
        <w:jc w:val="both"/>
        <w:rPr>
          <w:b/>
          <w:sz w:val="28"/>
          <w:szCs w:val="28"/>
        </w:rPr>
      </w:pPr>
    </w:p>
    <w:p w:rsidR="00FF5E5C" w:rsidRPr="002B1AB7" w:rsidRDefault="00FF5E5C" w:rsidP="00F73172">
      <w:pPr>
        <w:spacing w:after="120" w:line="360" w:lineRule="auto"/>
        <w:ind w:firstLine="567"/>
        <w:jc w:val="both"/>
        <w:rPr>
          <w:b/>
          <w:sz w:val="28"/>
          <w:szCs w:val="28"/>
        </w:rPr>
      </w:pPr>
      <w:r w:rsidRPr="002B1AB7">
        <w:rPr>
          <w:b/>
          <w:sz w:val="28"/>
          <w:szCs w:val="28"/>
        </w:rPr>
        <w:lastRenderedPageBreak/>
        <w:t>Setores Econômicos</w:t>
      </w:r>
    </w:p>
    <w:p w:rsidR="00FF5E5C" w:rsidRPr="002B1AB7" w:rsidRDefault="00FF5E5C" w:rsidP="00EC4346">
      <w:pPr>
        <w:spacing w:after="120" w:line="360" w:lineRule="auto"/>
        <w:ind w:firstLine="567"/>
        <w:jc w:val="both"/>
        <w:rPr>
          <w:sz w:val="28"/>
          <w:szCs w:val="28"/>
        </w:rPr>
      </w:pPr>
      <w:r w:rsidRPr="002B1AB7">
        <w:rPr>
          <w:sz w:val="28"/>
          <w:szCs w:val="28"/>
        </w:rPr>
        <w:t xml:space="preserve">O Setor Agropecuário perdeu participação na estrutura produtiva </w:t>
      </w:r>
      <w:r w:rsidR="00220949" w:rsidRPr="002B1AB7">
        <w:rPr>
          <w:sz w:val="28"/>
          <w:szCs w:val="28"/>
        </w:rPr>
        <w:t xml:space="preserve">estadual, </w:t>
      </w:r>
      <w:r w:rsidR="00A96395" w:rsidRPr="002B1AB7">
        <w:rPr>
          <w:sz w:val="28"/>
          <w:szCs w:val="28"/>
        </w:rPr>
        <w:t xml:space="preserve">passando de </w:t>
      </w:r>
      <w:r w:rsidR="00791FA4" w:rsidRPr="002B1AB7">
        <w:rPr>
          <w:sz w:val="28"/>
          <w:szCs w:val="28"/>
        </w:rPr>
        <w:t>7,8</w:t>
      </w:r>
      <w:r w:rsidR="00C260BA" w:rsidRPr="002B1AB7">
        <w:rPr>
          <w:sz w:val="28"/>
          <w:szCs w:val="28"/>
        </w:rPr>
        <w:t>6</w:t>
      </w:r>
      <w:r w:rsidR="00791FA4" w:rsidRPr="002B1AB7">
        <w:rPr>
          <w:sz w:val="28"/>
          <w:szCs w:val="28"/>
        </w:rPr>
        <w:t>% em 2012</w:t>
      </w:r>
      <w:r w:rsidR="002D1E2A" w:rsidRPr="002B1AB7">
        <w:rPr>
          <w:sz w:val="28"/>
          <w:szCs w:val="28"/>
        </w:rPr>
        <w:t xml:space="preserve"> para</w:t>
      </w:r>
      <w:r w:rsidR="00791FA4" w:rsidRPr="002B1AB7">
        <w:rPr>
          <w:sz w:val="28"/>
          <w:szCs w:val="28"/>
        </w:rPr>
        <w:t xml:space="preserve"> </w:t>
      </w:r>
      <w:r w:rsidR="00C260BA" w:rsidRPr="002B1AB7">
        <w:rPr>
          <w:sz w:val="28"/>
          <w:szCs w:val="28"/>
        </w:rPr>
        <w:t>6,38</w:t>
      </w:r>
      <w:r w:rsidR="00791FA4" w:rsidRPr="002B1AB7">
        <w:rPr>
          <w:sz w:val="28"/>
          <w:szCs w:val="28"/>
        </w:rPr>
        <w:t>% em 2013</w:t>
      </w:r>
      <w:r w:rsidR="00A96395" w:rsidRPr="002B1AB7">
        <w:rPr>
          <w:sz w:val="28"/>
          <w:szCs w:val="28"/>
        </w:rPr>
        <w:t xml:space="preserve">, diminuição de </w:t>
      </w:r>
      <w:r w:rsidR="00C260BA" w:rsidRPr="002B1AB7">
        <w:rPr>
          <w:sz w:val="28"/>
          <w:szCs w:val="28"/>
        </w:rPr>
        <w:t>1,5</w:t>
      </w:r>
      <w:r w:rsidRPr="002B1AB7">
        <w:rPr>
          <w:sz w:val="28"/>
          <w:szCs w:val="28"/>
        </w:rPr>
        <w:t xml:space="preserve"> pontos </w:t>
      </w:r>
      <w:r w:rsidR="00220949" w:rsidRPr="002B1AB7">
        <w:rPr>
          <w:sz w:val="28"/>
          <w:szCs w:val="28"/>
        </w:rPr>
        <w:t>percentuais.</w:t>
      </w:r>
      <w:r w:rsidR="001B34FB" w:rsidRPr="002B1AB7">
        <w:rPr>
          <w:sz w:val="28"/>
          <w:szCs w:val="28"/>
        </w:rPr>
        <w:t xml:space="preserve"> Também houve retração na taxa de crescimento do valor adicionado de -</w:t>
      </w:r>
      <w:r w:rsidR="00832C59">
        <w:rPr>
          <w:sz w:val="28"/>
          <w:szCs w:val="28"/>
        </w:rPr>
        <w:t>26,07</w:t>
      </w:r>
      <w:r w:rsidR="001B34FB" w:rsidRPr="002B1AB7">
        <w:rPr>
          <w:sz w:val="28"/>
          <w:szCs w:val="28"/>
        </w:rPr>
        <w:t>% em termos reais.</w:t>
      </w:r>
      <w:r w:rsidR="00870EEE" w:rsidRPr="002B1AB7">
        <w:rPr>
          <w:sz w:val="28"/>
          <w:szCs w:val="28"/>
        </w:rPr>
        <w:t xml:space="preserve"> </w:t>
      </w:r>
      <w:r w:rsidRPr="002B1AB7">
        <w:rPr>
          <w:sz w:val="28"/>
          <w:szCs w:val="28"/>
        </w:rPr>
        <w:t>As condições climáticas favoreceram essa retração.</w:t>
      </w:r>
    </w:p>
    <w:p w:rsidR="00FF5E5C" w:rsidRPr="002B1AB7" w:rsidRDefault="008731E0" w:rsidP="00EC4346">
      <w:pPr>
        <w:spacing w:after="120" w:line="360" w:lineRule="auto"/>
        <w:ind w:firstLine="567"/>
        <w:jc w:val="both"/>
        <w:rPr>
          <w:sz w:val="28"/>
          <w:szCs w:val="28"/>
        </w:rPr>
      </w:pPr>
      <w:r w:rsidRPr="002B1AB7">
        <w:rPr>
          <w:sz w:val="28"/>
          <w:szCs w:val="28"/>
        </w:rPr>
        <w:t xml:space="preserve"> O </w:t>
      </w:r>
      <w:r w:rsidR="005B7D07" w:rsidRPr="002B1AB7">
        <w:rPr>
          <w:sz w:val="28"/>
          <w:szCs w:val="28"/>
        </w:rPr>
        <w:t xml:space="preserve">setor Industrial </w:t>
      </w:r>
      <w:r w:rsidRPr="002B1AB7">
        <w:rPr>
          <w:sz w:val="28"/>
          <w:szCs w:val="28"/>
        </w:rPr>
        <w:t>sofreu uma redução</w:t>
      </w:r>
      <w:r w:rsidR="005B7D07" w:rsidRPr="002B1AB7">
        <w:rPr>
          <w:sz w:val="28"/>
          <w:szCs w:val="28"/>
        </w:rPr>
        <w:t xml:space="preserve"> em sua participação </w:t>
      </w:r>
      <w:r w:rsidR="0083585E" w:rsidRPr="002B1AB7">
        <w:rPr>
          <w:sz w:val="28"/>
          <w:szCs w:val="28"/>
        </w:rPr>
        <w:t xml:space="preserve">saindo </w:t>
      </w:r>
      <w:r w:rsidRPr="002B1AB7">
        <w:rPr>
          <w:sz w:val="28"/>
          <w:szCs w:val="28"/>
        </w:rPr>
        <w:t>de 15,</w:t>
      </w:r>
      <w:r w:rsidR="001B34FB" w:rsidRPr="002B1AB7">
        <w:rPr>
          <w:sz w:val="28"/>
          <w:szCs w:val="28"/>
        </w:rPr>
        <w:t>28</w:t>
      </w:r>
      <w:r w:rsidR="005B7D07" w:rsidRPr="002B1AB7">
        <w:rPr>
          <w:sz w:val="28"/>
          <w:szCs w:val="28"/>
        </w:rPr>
        <w:t xml:space="preserve">% </w:t>
      </w:r>
      <w:r w:rsidR="00547DCF" w:rsidRPr="002B1AB7">
        <w:rPr>
          <w:sz w:val="28"/>
          <w:szCs w:val="28"/>
        </w:rPr>
        <w:t>em</w:t>
      </w:r>
      <w:r w:rsidR="005B7D07" w:rsidRPr="002B1AB7">
        <w:rPr>
          <w:sz w:val="28"/>
          <w:szCs w:val="28"/>
        </w:rPr>
        <w:t xml:space="preserve"> 201</w:t>
      </w:r>
      <w:r w:rsidRPr="002B1AB7">
        <w:rPr>
          <w:sz w:val="28"/>
          <w:szCs w:val="28"/>
        </w:rPr>
        <w:t>2</w:t>
      </w:r>
      <w:r w:rsidR="005B7D07" w:rsidRPr="002B1AB7">
        <w:rPr>
          <w:sz w:val="28"/>
          <w:szCs w:val="28"/>
        </w:rPr>
        <w:t xml:space="preserve"> para</w:t>
      </w:r>
      <w:r w:rsidR="00870EEE" w:rsidRPr="002B1AB7">
        <w:rPr>
          <w:sz w:val="28"/>
          <w:szCs w:val="28"/>
        </w:rPr>
        <w:t xml:space="preserve"> </w:t>
      </w:r>
      <w:r w:rsidRPr="002B1AB7">
        <w:rPr>
          <w:sz w:val="28"/>
          <w:szCs w:val="28"/>
        </w:rPr>
        <w:t>12,</w:t>
      </w:r>
      <w:r w:rsidR="001B34FB" w:rsidRPr="002B1AB7">
        <w:rPr>
          <w:sz w:val="28"/>
          <w:szCs w:val="28"/>
        </w:rPr>
        <w:t>36</w:t>
      </w:r>
      <w:r w:rsidR="00FF5E5C" w:rsidRPr="002B1AB7">
        <w:rPr>
          <w:sz w:val="28"/>
          <w:szCs w:val="28"/>
        </w:rPr>
        <w:t>%</w:t>
      </w:r>
      <w:proofErr w:type="gramStart"/>
      <w:r w:rsidRPr="002B1AB7">
        <w:rPr>
          <w:sz w:val="28"/>
          <w:szCs w:val="28"/>
        </w:rPr>
        <w:t xml:space="preserve"> </w:t>
      </w:r>
      <w:r w:rsidR="00547DCF" w:rsidRPr="002B1AB7">
        <w:rPr>
          <w:sz w:val="28"/>
          <w:szCs w:val="28"/>
        </w:rPr>
        <w:t xml:space="preserve"> </w:t>
      </w:r>
      <w:proofErr w:type="gramEnd"/>
      <w:r w:rsidR="00547DCF" w:rsidRPr="002B1AB7">
        <w:rPr>
          <w:sz w:val="28"/>
          <w:szCs w:val="28"/>
        </w:rPr>
        <w:t xml:space="preserve">no ano de </w:t>
      </w:r>
      <w:r w:rsidRPr="002B1AB7">
        <w:rPr>
          <w:sz w:val="28"/>
          <w:szCs w:val="28"/>
        </w:rPr>
        <w:t>2013</w:t>
      </w:r>
      <w:r w:rsidR="00FF5E5C" w:rsidRPr="002B1AB7">
        <w:rPr>
          <w:sz w:val="28"/>
          <w:szCs w:val="28"/>
        </w:rPr>
        <w:t>.</w:t>
      </w:r>
    </w:p>
    <w:p w:rsidR="00894E83" w:rsidRPr="002B1AB7" w:rsidRDefault="00FF5E5C" w:rsidP="003D3F54">
      <w:pPr>
        <w:spacing w:after="120" w:line="360" w:lineRule="auto"/>
        <w:ind w:firstLine="567"/>
        <w:jc w:val="both"/>
        <w:rPr>
          <w:sz w:val="28"/>
          <w:szCs w:val="28"/>
        </w:rPr>
      </w:pPr>
      <w:r w:rsidRPr="002B1AB7">
        <w:rPr>
          <w:sz w:val="28"/>
          <w:szCs w:val="28"/>
        </w:rPr>
        <w:t>O setor Serviços ganhou participaçã</w:t>
      </w:r>
      <w:r w:rsidR="001B34FB" w:rsidRPr="002B1AB7">
        <w:rPr>
          <w:sz w:val="28"/>
          <w:szCs w:val="28"/>
        </w:rPr>
        <w:t>o em 2013, saiu de 76,86%</w:t>
      </w:r>
      <w:r w:rsidR="008C030D">
        <w:rPr>
          <w:sz w:val="28"/>
          <w:szCs w:val="28"/>
        </w:rPr>
        <w:t xml:space="preserve"> (2012)</w:t>
      </w:r>
      <w:r w:rsidR="001B34FB" w:rsidRPr="002B1AB7">
        <w:rPr>
          <w:sz w:val="28"/>
          <w:szCs w:val="28"/>
        </w:rPr>
        <w:t xml:space="preserve"> para 81,26</w:t>
      </w:r>
      <w:r w:rsidRPr="002B1AB7">
        <w:rPr>
          <w:sz w:val="28"/>
          <w:szCs w:val="28"/>
        </w:rPr>
        <w:t>% do Valor Adicionado</w:t>
      </w:r>
      <w:r w:rsidR="00F348C8" w:rsidRPr="002B1AB7">
        <w:rPr>
          <w:sz w:val="28"/>
          <w:szCs w:val="28"/>
        </w:rPr>
        <w:t xml:space="preserve"> do PIB E</w:t>
      </w:r>
      <w:r w:rsidR="00B202E1" w:rsidRPr="002B1AB7">
        <w:rPr>
          <w:sz w:val="28"/>
          <w:szCs w:val="28"/>
        </w:rPr>
        <w:t>stadual.</w:t>
      </w:r>
    </w:p>
    <w:p w:rsidR="00105B15" w:rsidRPr="002B1AB7" w:rsidRDefault="00105B15" w:rsidP="00B753B2">
      <w:pPr>
        <w:spacing w:line="240" w:lineRule="auto"/>
        <w:rPr>
          <w:b/>
          <w:sz w:val="32"/>
          <w:szCs w:val="32"/>
        </w:rPr>
      </w:pPr>
    </w:p>
    <w:p w:rsidR="006879D2" w:rsidRDefault="00B202E1" w:rsidP="00894E83">
      <w:pPr>
        <w:spacing w:line="240" w:lineRule="auto"/>
        <w:jc w:val="center"/>
        <w:rPr>
          <w:b/>
          <w:sz w:val="32"/>
          <w:szCs w:val="32"/>
        </w:rPr>
      </w:pPr>
      <w:r w:rsidRPr="002B1AB7">
        <w:rPr>
          <w:b/>
          <w:sz w:val="32"/>
          <w:szCs w:val="32"/>
        </w:rPr>
        <w:t>Gráfico 03 – Estrutura Se</w:t>
      </w:r>
      <w:r w:rsidR="003A145C" w:rsidRPr="002B1AB7">
        <w:rPr>
          <w:b/>
          <w:sz w:val="32"/>
          <w:szCs w:val="32"/>
        </w:rPr>
        <w:t>torial da Economia Piauiense</w:t>
      </w:r>
      <w:r w:rsidR="006C3C90" w:rsidRPr="002B1AB7">
        <w:rPr>
          <w:b/>
          <w:sz w:val="32"/>
          <w:szCs w:val="32"/>
        </w:rPr>
        <w:t xml:space="preserve"> (%)</w:t>
      </w:r>
      <w:proofErr w:type="gramStart"/>
      <w:r w:rsidR="006C3C90" w:rsidRPr="002B1AB7">
        <w:rPr>
          <w:b/>
          <w:sz w:val="32"/>
          <w:szCs w:val="32"/>
        </w:rPr>
        <w:t xml:space="preserve"> </w:t>
      </w:r>
      <w:r w:rsidR="003A145C" w:rsidRPr="002B1AB7">
        <w:rPr>
          <w:b/>
          <w:sz w:val="32"/>
          <w:szCs w:val="32"/>
        </w:rPr>
        <w:t xml:space="preserve"> </w:t>
      </w:r>
    </w:p>
    <w:p w:rsidR="00894E83" w:rsidRPr="002B1AB7" w:rsidRDefault="003A145C" w:rsidP="00894E83">
      <w:pPr>
        <w:spacing w:line="240" w:lineRule="auto"/>
        <w:jc w:val="center"/>
        <w:rPr>
          <w:b/>
          <w:sz w:val="32"/>
          <w:szCs w:val="32"/>
        </w:rPr>
      </w:pPr>
      <w:proofErr w:type="gramEnd"/>
      <w:r w:rsidRPr="002B1AB7">
        <w:rPr>
          <w:b/>
          <w:sz w:val="32"/>
          <w:szCs w:val="32"/>
        </w:rPr>
        <w:t>2010</w:t>
      </w:r>
      <w:r w:rsidR="00B202E1" w:rsidRPr="002B1AB7">
        <w:rPr>
          <w:b/>
          <w:sz w:val="32"/>
          <w:szCs w:val="32"/>
        </w:rPr>
        <w:t>-20</w:t>
      </w:r>
      <w:r w:rsidRPr="002B1AB7">
        <w:rPr>
          <w:b/>
          <w:sz w:val="32"/>
          <w:szCs w:val="32"/>
        </w:rPr>
        <w:t>13</w:t>
      </w:r>
    </w:p>
    <w:p w:rsidR="00894E83" w:rsidRDefault="0020221B" w:rsidP="00894E83">
      <w:pPr>
        <w:spacing w:line="240" w:lineRule="auto"/>
        <w:rPr>
          <w:b/>
          <w:color w:val="FF0000"/>
          <w:sz w:val="28"/>
          <w:szCs w:val="28"/>
        </w:rPr>
      </w:pPr>
      <w:r>
        <w:rPr>
          <w:noProof/>
        </w:rPr>
        <w:drawing>
          <wp:inline distT="0" distB="0" distL="0" distR="0" wp14:anchorId="1C22196E" wp14:editId="6336500C">
            <wp:extent cx="5591175" cy="31242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0959" w:rsidRDefault="00E60D76" w:rsidP="00894E83">
      <w:pPr>
        <w:spacing w:line="240" w:lineRule="auto"/>
        <w:rPr>
          <w:sz w:val="18"/>
          <w:szCs w:val="18"/>
        </w:rPr>
      </w:pPr>
      <w:r w:rsidRPr="00AB370A">
        <w:rPr>
          <w:sz w:val="18"/>
          <w:szCs w:val="18"/>
        </w:rPr>
        <w:t>Fonte: IBGE, Diretoria de Pesquisa, Coordenação de Contas Nacionais</w:t>
      </w:r>
      <w:r>
        <w:rPr>
          <w:sz w:val="18"/>
          <w:szCs w:val="18"/>
        </w:rPr>
        <w:t xml:space="preserve">; </w:t>
      </w:r>
      <w:r w:rsidR="00DC4578">
        <w:rPr>
          <w:sz w:val="18"/>
          <w:szCs w:val="18"/>
        </w:rPr>
        <w:t xml:space="preserve">Elaboração: Fundação </w:t>
      </w:r>
      <w:proofErr w:type="spellStart"/>
      <w:r w:rsidR="00870EEE">
        <w:rPr>
          <w:sz w:val="18"/>
          <w:szCs w:val="18"/>
        </w:rPr>
        <w:t>Cepro</w:t>
      </w:r>
      <w:proofErr w:type="spellEnd"/>
      <w:r w:rsidR="00870EEE">
        <w:rPr>
          <w:sz w:val="18"/>
          <w:szCs w:val="18"/>
        </w:rPr>
        <w:t>.</w:t>
      </w:r>
    </w:p>
    <w:p w:rsidR="006C3C90" w:rsidRDefault="006C3C90" w:rsidP="00894E83">
      <w:pPr>
        <w:spacing w:line="240" w:lineRule="auto"/>
      </w:pPr>
    </w:p>
    <w:p w:rsidR="002D2FA0" w:rsidRDefault="002D2FA0" w:rsidP="002E66CE">
      <w:pPr>
        <w:rPr>
          <w:b/>
          <w:sz w:val="32"/>
          <w:szCs w:val="32"/>
        </w:rPr>
      </w:pPr>
    </w:p>
    <w:p w:rsidR="003D3F54" w:rsidRDefault="008B5BE8" w:rsidP="00894E83">
      <w:pPr>
        <w:jc w:val="center"/>
        <w:rPr>
          <w:b/>
          <w:sz w:val="32"/>
          <w:szCs w:val="32"/>
        </w:rPr>
      </w:pPr>
      <w:r w:rsidRPr="00514659">
        <w:rPr>
          <w:b/>
          <w:sz w:val="32"/>
          <w:szCs w:val="32"/>
        </w:rPr>
        <w:lastRenderedPageBreak/>
        <w:t>Tabela</w:t>
      </w:r>
      <w:r w:rsidR="00B202E1" w:rsidRPr="00514659">
        <w:rPr>
          <w:b/>
          <w:sz w:val="32"/>
          <w:szCs w:val="32"/>
        </w:rPr>
        <w:t xml:space="preserve"> 02 – Piauí – Estrutura e taxa de Crescimento </w:t>
      </w:r>
      <w:r w:rsidR="000A6A09" w:rsidRPr="00514659">
        <w:rPr>
          <w:b/>
          <w:sz w:val="32"/>
          <w:szCs w:val="32"/>
        </w:rPr>
        <w:t xml:space="preserve">do VA </w:t>
      </w:r>
    </w:p>
    <w:p w:rsidR="00D11243" w:rsidRPr="00514659" w:rsidRDefault="00B54676" w:rsidP="00894E83">
      <w:pPr>
        <w:jc w:val="center"/>
        <w:rPr>
          <w:b/>
          <w:sz w:val="32"/>
          <w:szCs w:val="32"/>
        </w:rPr>
      </w:pPr>
      <w:r w:rsidRPr="00514659">
        <w:rPr>
          <w:b/>
          <w:sz w:val="32"/>
          <w:szCs w:val="32"/>
        </w:rPr>
        <w:t>2012- 2013</w:t>
      </w:r>
    </w:p>
    <w:tbl>
      <w:tblPr>
        <w:tblW w:w="8804" w:type="dxa"/>
        <w:tblInd w:w="55" w:type="dxa"/>
        <w:tblCellMar>
          <w:left w:w="70" w:type="dxa"/>
          <w:right w:w="70" w:type="dxa"/>
        </w:tblCellMar>
        <w:tblLook w:val="04A0" w:firstRow="1" w:lastRow="0" w:firstColumn="1" w:lastColumn="0" w:noHBand="0" w:noVBand="1"/>
      </w:tblPr>
      <w:tblGrid>
        <w:gridCol w:w="4268"/>
        <w:gridCol w:w="1511"/>
        <w:gridCol w:w="591"/>
        <w:gridCol w:w="1559"/>
        <w:gridCol w:w="875"/>
      </w:tblGrid>
      <w:tr w:rsidR="00D01AD7" w:rsidRPr="00D01AD7" w:rsidTr="00864A28">
        <w:trPr>
          <w:trHeight w:val="300"/>
        </w:trPr>
        <w:tc>
          <w:tcPr>
            <w:tcW w:w="4268" w:type="dxa"/>
            <w:vMerge w:val="restart"/>
            <w:tcBorders>
              <w:top w:val="nil"/>
              <w:left w:val="nil"/>
              <w:bottom w:val="single" w:sz="12" w:space="0" w:color="000000"/>
              <w:right w:val="single" w:sz="4" w:space="0" w:color="auto"/>
            </w:tcBorders>
            <w:shd w:val="clear" w:color="000000" w:fill="E26B0A"/>
            <w:vAlign w:val="center"/>
            <w:hideMark/>
          </w:tcPr>
          <w:p w:rsidR="00D01AD7" w:rsidRPr="00D01AD7" w:rsidRDefault="00D01AD7" w:rsidP="00D01AD7">
            <w:pPr>
              <w:spacing w:after="0" w:line="240" w:lineRule="auto"/>
              <w:jc w:val="center"/>
              <w:rPr>
                <w:rFonts w:ascii="Arial" w:eastAsia="Times New Roman" w:hAnsi="Arial" w:cs="Arial"/>
                <w:b/>
                <w:bCs/>
                <w:sz w:val="18"/>
                <w:szCs w:val="18"/>
              </w:rPr>
            </w:pPr>
            <w:r w:rsidRPr="00D01AD7">
              <w:rPr>
                <w:rFonts w:ascii="Arial" w:eastAsia="Times New Roman" w:hAnsi="Arial" w:cs="Arial"/>
                <w:b/>
                <w:bCs/>
                <w:sz w:val="18"/>
                <w:szCs w:val="18"/>
              </w:rPr>
              <w:t>Setores de Atividades</w:t>
            </w:r>
          </w:p>
        </w:tc>
        <w:tc>
          <w:tcPr>
            <w:tcW w:w="2102" w:type="dxa"/>
            <w:gridSpan w:val="2"/>
            <w:tcBorders>
              <w:top w:val="single" w:sz="4" w:space="0" w:color="auto"/>
              <w:left w:val="nil"/>
              <w:bottom w:val="nil"/>
              <w:right w:val="single" w:sz="4" w:space="0" w:color="000000"/>
            </w:tcBorders>
            <w:shd w:val="clear" w:color="000000" w:fill="E26B0A"/>
            <w:vAlign w:val="center"/>
            <w:hideMark/>
          </w:tcPr>
          <w:p w:rsidR="00D01AD7" w:rsidRPr="00D01AD7" w:rsidRDefault="00D01AD7" w:rsidP="00D01AD7">
            <w:pPr>
              <w:spacing w:after="0" w:line="240" w:lineRule="auto"/>
              <w:jc w:val="center"/>
              <w:rPr>
                <w:rFonts w:ascii="Arial" w:eastAsia="Times New Roman" w:hAnsi="Arial" w:cs="Arial"/>
                <w:b/>
                <w:bCs/>
                <w:sz w:val="18"/>
                <w:szCs w:val="18"/>
              </w:rPr>
            </w:pPr>
            <w:r w:rsidRPr="00D01AD7">
              <w:rPr>
                <w:rFonts w:ascii="Arial" w:eastAsia="Times New Roman" w:hAnsi="Arial" w:cs="Arial"/>
                <w:b/>
                <w:bCs/>
                <w:sz w:val="18"/>
                <w:szCs w:val="18"/>
              </w:rPr>
              <w:t xml:space="preserve">        </w:t>
            </w:r>
          </w:p>
        </w:tc>
        <w:tc>
          <w:tcPr>
            <w:tcW w:w="2434" w:type="dxa"/>
            <w:gridSpan w:val="2"/>
            <w:tcBorders>
              <w:top w:val="single" w:sz="4" w:space="0" w:color="auto"/>
              <w:left w:val="nil"/>
              <w:bottom w:val="nil"/>
              <w:right w:val="single" w:sz="4" w:space="0" w:color="000000"/>
            </w:tcBorders>
            <w:shd w:val="clear" w:color="000000" w:fill="E26B0A"/>
            <w:vAlign w:val="center"/>
            <w:hideMark/>
          </w:tcPr>
          <w:p w:rsidR="00D01AD7" w:rsidRPr="00D01AD7" w:rsidRDefault="00D01AD7" w:rsidP="00D01AD7">
            <w:pPr>
              <w:spacing w:after="0" w:line="240" w:lineRule="auto"/>
              <w:jc w:val="center"/>
              <w:rPr>
                <w:rFonts w:ascii="Arial" w:eastAsia="Times New Roman" w:hAnsi="Arial" w:cs="Arial"/>
                <w:b/>
                <w:bCs/>
                <w:sz w:val="18"/>
                <w:szCs w:val="18"/>
              </w:rPr>
            </w:pPr>
            <w:r w:rsidRPr="00D01AD7">
              <w:rPr>
                <w:rFonts w:ascii="Arial" w:eastAsia="Times New Roman" w:hAnsi="Arial" w:cs="Arial"/>
                <w:b/>
                <w:bCs/>
                <w:sz w:val="18"/>
                <w:szCs w:val="18"/>
              </w:rPr>
              <w:t> </w:t>
            </w:r>
          </w:p>
        </w:tc>
      </w:tr>
      <w:tr w:rsidR="00D01AD7" w:rsidRPr="00D01AD7" w:rsidTr="00864A28">
        <w:trPr>
          <w:trHeight w:val="315"/>
        </w:trPr>
        <w:tc>
          <w:tcPr>
            <w:tcW w:w="4268" w:type="dxa"/>
            <w:vMerge/>
            <w:tcBorders>
              <w:top w:val="nil"/>
              <w:left w:val="nil"/>
              <w:bottom w:val="single" w:sz="12" w:space="0" w:color="000000"/>
              <w:right w:val="single" w:sz="4" w:space="0" w:color="auto"/>
            </w:tcBorders>
            <w:vAlign w:val="center"/>
            <w:hideMark/>
          </w:tcPr>
          <w:p w:rsidR="00D01AD7" w:rsidRPr="00D01AD7" w:rsidRDefault="00D01AD7" w:rsidP="00D01AD7">
            <w:pPr>
              <w:spacing w:after="0" w:line="240" w:lineRule="auto"/>
              <w:rPr>
                <w:rFonts w:ascii="Arial" w:eastAsia="Times New Roman" w:hAnsi="Arial" w:cs="Arial"/>
                <w:b/>
                <w:bCs/>
                <w:sz w:val="18"/>
                <w:szCs w:val="18"/>
              </w:rPr>
            </w:pPr>
          </w:p>
        </w:tc>
        <w:tc>
          <w:tcPr>
            <w:tcW w:w="2102" w:type="dxa"/>
            <w:gridSpan w:val="2"/>
            <w:tcBorders>
              <w:top w:val="nil"/>
              <w:left w:val="nil"/>
              <w:bottom w:val="single" w:sz="4" w:space="0" w:color="auto"/>
              <w:right w:val="single" w:sz="4" w:space="0" w:color="000000"/>
            </w:tcBorders>
            <w:shd w:val="clear" w:color="000000" w:fill="E26B0A"/>
            <w:vAlign w:val="center"/>
            <w:hideMark/>
          </w:tcPr>
          <w:p w:rsidR="00D01AD7" w:rsidRPr="00D01AD7" w:rsidRDefault="00D01AD7" w:rsidP="00D01AD7">
            <w:pPr>
              <w:spacing w:after="0" w:line="240" w:lineRule="auto"/>
              <w:jc w:val="center"/>
              <w:rPr>
                <w:rFonts w:ascii="Arial" w:eastAsia="Times New Roman" w:hAnsi="Arial" w:cs="Arial"/>
                <w:b/>
                <w:bCs/>
                <w:sz w:val="18"/>
                <w:szCs w:val="18"/>
              </w:rPr>
            </w:pPr>
            <w:r w:rsidRPr="00D01AD7">
              <w:rPr>
                <w:rFonts w:ascii="Arial" w:eastAsia="Times New Roman" w:hAnsi="Arial" w:cs="Arial"/>
                <w:b/>
                <w:bCs/>
                <w:sz w:val="18"/>
                <w:szCs w:val="18"/>
              </w:rPr>
              <w:t>Participação (%)</w:t>
            </w:r>
          </w:p>
        </w:tc>
        <w:tc>
          <w:tcPr>
            <w:tcW w:w="2434" w:type="dxa"/>
            <w:gridSpan w:val="2"/>
            <w:tcBorders>
              <w:top w:val="nil"/>
              <w:left w:val="nil"/>
              <w:bottom w:val="single" w:sz="4" w:space="0" w:color="auto"/>
              <w:right w:val="single" w:sz="4" w:space="0" w:color="000000"/>
            </w:tcBorders>
            <w:shd w:val="clear" w:color="000000" w:fill="E26B0A"/>
            <w:vAlign w:val="center"/>
            <w:hideMark/>
          </w:tcPr>
          <w:p w:rsidR="00D01AD7" w:rsidRPr="00D01AD7" w:rsidRDefault="00D01AD7" w:rsidP="00D01AD7">
            <w:pPr>
              <w:spacing w:after="0" w:line="240" w:lineRule="auto"/>
              <w:jc w:val="center"/>
              <w:rPr>
                <w:rFonts w:ascii="Arial" w:eastAsia="Times New Roman" w:hAnsi="Arial" w:cs="Arial"/>
                <w:b/>
                <w:bCs/>
                <w:sz w:val="18"/>
                <w:szCs w:val="18"/>
              </w:rPr>
            </w:pPr>
            <w:r w:rsidRPr="00D01AD7">
              <w:rPr>
                <w:rFonts w:ascii="Arial" w:eastAsia="Times New Roman" w:hAnsi="Arial" w:cs="Arial"/>
                <w:b/>
                <w:bCs/>
                <w:sz w:val="18"/>
                <w:szCs w:val="18"/>
              </w:rPr>
              <w:t>Taxa de Crescimento (%)</w:t>
            </w:r>
          </w:p>
        </w:tc>
      </w:tr>
      <w:tr w:rsidR="00864A28" w:rsidRPr="00D01AD7" w:rsidTr="00864A28">
        <w:trPr>
          <w:trHeight w:val="31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jc w:val="center"/>
              <w:rPr>
                <w:rFonts w:ascii="Arial" w:eastAsia="Times New Roman" w:hAnsi="Arial" w:cs="Arial"/>
                <w:b/>
                <w:bCs/>
                <w:sz w:val="18"/>
                <w:szCs w:val="18"/>
              </w:rPr>
            </w:pPr>
            <w:r w:rsidRPr="00D01AD7">
              <w:rPr>
                <w:rFonts w:ascii="Arial" w:eastAsia="Times New Roman" w:hAnsi="Arial" w:cs="Arial"/>
                <w:b/>
                <w:bCs/>
                <w:sz w:val="18"/>
                <w:szCs w:val="18"/>
              </w:rPr>
              <w:t> </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 </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 </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 </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 </w:t>
            </w:r>
          </w:p>
        </w:tc>
      </w:tr>
      <w:tr w:rsidR="00864A28" w:rsidRPr="00D01AD7" w:rsidTr="00864A28">
        <w:trPr>
          <w:trHeight w:val="300"/>
        </w:trPr>
        <w:tc>
          <w:tcPr>
            <w:tcW w:w="4268" w:type="dxa"/>
            <w:tcBorders>
              <w:top w:val="nil"/>
              <w:left w:val="nil"/>
              <w:bottom w:val="nil"/>
              <w:right w:val="nil"/>
            </w:tcBorders>
            <w:shd w:val="clear" w:color="000000" w:fill="E26B0A"/>
            <w:noWrap/>
            <w:vAlign w:val="bottom"/>
            <w:hideMark/>
          </w:tcPr>
          <w:p w:rsidR="00D01AD7" w:rsidRPr="00D01AD7" w:rsidRDefault="00D01AD7" w:rsidP="00D01AD7">
            <w:pPr>
              <w:spacing w:after="0" w:line="240" w:lineRule="auto"/>
              <w:rPr>
                <w:rFonts w:ascii="Calibri" w:eastAsia="Times New Roman" w:hAnsi="Calibri" w:cs="Times New Roman"/>
              </w:rPr>
            </w:pPr>
            <w:r w:rsidRPr="00D01AD7">
              <w:rPr>
                <w:rFonts w:ascii="Calibri" w:eastAsia="Times New Roman" w:hAnsi="Calibri" w:cs="Times New Roman"/>
              </w:rPr>
              <w:t> </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2012</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2013</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2012</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b/>
                <w:bCs/>
                <w:color w:val="000000"/>
                <w:sz w:val="18"/>
                <w:szCs w:val="18"/>
              </w:rPr>
            </w:pPr>
            <w:r w:rsidRPr="00D01AD7">
              <w:rPr>
                <w:rFonts w:ascii="Arial" w:eastAsia="Times New Roman" w:hAnsi="Arial" w:cs="Arial"/>
                <w:b/>
                <w:bCs/>
                <w:color w:val="000000"/>
                <w:sz w:val="18"/>
                <w:szCs w:val="18"/>
              </w:rPr>
              <w:t>2013</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Agricultura</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5,45</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3,95</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-16,45</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-36,66</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Pecuária</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1,65</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1,68</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-11,1</w:t>
            </w:r>
            <w:r w:rsidR="00C43DD1">
              <w:rPr>
                <w:rFonts w:ascii="Arial" w:eastAsia="Times New Roman" w:hAnsi="Arial" w:cs="Arial"/>
                <w:color w:val="000000"/>
                <w:sz w:val="18"/>
                <w:szCs w:val="18"/>
              </w:rPr>
              <w:t>0</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-3,23</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Prod. florestal</w:t>
            </w:r>
            <w:proofErr w:type="gramStart"/>
            <w:r w:rsidRPr="00D01AD7">
              <w:rPr>
                <w:rFonts w:ascii="Arial" w:eastAsia="Times New Roman" w:hAnsi="Arial" w:cs="Arial"/>
                <w:b/>
                <w:bCs/>
                <w:sz w:val="18"/>
                <w:szCs w:val="18"/>
              </w:rPr>
              <w:t>, pesca</w:t>
            </w:r>
            <w:proofErr w:type="gramEnd"/>
            <w:r w:rsidRPr="00D01AD7">
              <w:rPr>
                <w:rFonts w:ascii="Arial" w:eastAsia="Times New Roman" w:hAnsi="Arial" w:cs="Arial"/>
                <w:b/>
                <w:bCs/>
                <w:sz w:val="18"/>
                <w:szCs w:val="18"/>
              </w:rPr>
              <w:t xml:space="preserve"> e aquicultura</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0,76</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0,75</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2,14</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-6,47</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Indústria Extrativa</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0,51</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0,26</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17,36</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17,98</w:t>
            </w:r>
          </w:p>
        </w:tc>
      </w:tr>
      <w:tr w:rsidR="00864A28" w:rsidRPr="00D01AD7" w:rsidTr="00864A28">
        <w:trPr>
          <w:trHeight w:val="40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Indústria de Transformação</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4,83</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3,64</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29,81</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3,40</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 xml:space="preserve">Eletricidade e gás, água e </w:t>
            </w:r>
            <w:proofErr w:type="gramStart"/>
            <w:r w:rsidRPr="00D01AD7">
              <w:rPr>
                <w:rFonts w:ascii="Arial" w:eastAsia="Times New Roman" w:hAnsi="Arial" w:cs="Arial"/>
                <w:b/>
                <w:bCs/>
                <w:sz w:val="18"/>
                <w:szCs w:val="18"/>
              </w:rPr>
              <w:t>esgoto</w:t>
            </w:r>
            <w:proofErr w:type="gramEnd"/>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2,27</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0,68</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3,85</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-2,77</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Construção</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7,67</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7,78</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6,01</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9,31</w:t>
            </w:r>
          </w:p>
        </w:tc>
      </w:tr>
      <w:tr w:rsidR="00864A28" w:rsidRPr="00D01AD7" w:rsidTr="00864A28">
        <w:trPr>
          <w:trHeight w:val="31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Comercio</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17,54</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18,49</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5,26</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6,38</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Transporte</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2,34</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2,59</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9,34</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5,08</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Alojamento e Alimentação</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2,54</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3,4</w:t>
            </w:r>
            <w:r w:rsidR="001C0898">
              <w:rPr>
                <w:rFonts w:ascii="Arial" w:eastAsia="Times New Roman" w:hAnsi="Arial" w:cs="Arial"/>
                <w:color w:val="000000"/>
                <w:sz w:val="18"/>
                <w:szCs w:val="18"/>
              </w:rPr>
              <w:t>0</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11,04</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1,52</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Serviços de informação e comunicação</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1,15</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1,48</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7,22</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23,56</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Atividades financeiras</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2,41</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2,45</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7,5</w:t>
            </w:r>
            <w:r w:rsidR="001C0898">
              <w:rPr>
                <w:rFonts w:ascii="Arial" w:eastAsia="Times New Roman" w:hAnsi="Arial" w:cs="Arial"/>
                <w:color w:val="000000"/>
                <w:sz w:val="18"/>
                <w:szCs w:val="18"/>
              </w:rPr>
              <w:t>0</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8,7</w:t>
            </w:r>
            <w:r w:rsidR="001C0898">
              <w:rPr>
                <w:rFonts w:ascii="Arial" w:eastAsia="Times New Roman" w:hAnsi="Arial" w:cs="Arial"/>
                <w:color w:val="000000"/>
                <w:sz w:val="18"/>
                <w:szCs w:val="18"/>
              </w:rPr>
              <w:t>0</w:t>
            </w:r>
          </w:p>
        </w:tc>
      </w:tr>
      <w:tr w:rsidR="00864A28" w:rsidRPr="00D01AD7" w:rsidTr="00864A28">
        <w:trPr>
          <w:trHeight w:val="300"/>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 xml:space="preserve">Atividades </w:t>
            </w:r>
            <w:r w:rsidR="006879D2" w:rsidRPr="00D01AD7">
              <w:rPr>
                <w:rFonts w:ascii="Arial" w:eastAsia="Times New Roman" w:hAnsi="Arial" w:cs="Arial"/>
                <w:b/>
                <w:bCs/>
                <w:sz w:val="18"/>
                <w:szCs w:val="18"/>
              </w:rPr>
              <w:t>imobiliárias</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7,80</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7,74</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4,61</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3,26</w:t>
            </w:r>
          </w:p>
        </w:tc>
      </w:tr>
      <w:tr w:rsidR="00864A28" w:rsidRPr="00D01AD7" w:rsidTr="00864A28">
        <w:trPr>
          <w:trHeight w:val="37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 xml:space="preserve">Atividades Profissionais, científicas e </w:t>
            </w:r>
            <w:proofErr w:type="gramStart"/>
            <w:r w:rsidRPr="00D01AD7">
              <w:rPr>
                <w:rFonts w:ascii="Arial" w:eastAsia="Times New Roman" w:hAnsi="Arial" w:cs="Arial"/>
                <w:b/>
                <w:bCs/>
                <w:sz w:val="18"/>
                <w:szCs w:val="18"/>
              </w:rPr>
              <w:t>técnicas</w:t>
            </w:r>
            <w:proofErr w:type="gramEnd"/>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5,39</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4,9</w:t>
            </w:r>
            <w:r w:rsidR="001C0898">
              <w:rPr>
                <w:rFonts w:ascii="Arial" w:eastAsia="Times New Roman" w:hAnsi="Arial" w:cs="Arial"/>
                <w:color w:val="000000"/>
                <w:sz w:val="18"/>
                <w:szCs w:val="18"/>
              </w:rPr>
              <w:t>0</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6,68</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9,37</w:t>
            </w:r>
          </w:p>
        </w:tc>
      </w:tr>
      <w:tr w:rsidR="00864A28" w:rsidRPr="00D01AD7" w:rsidTr="00864A28">
        <w:trPr>
          <w:trHeight w:val="40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Administração Pública</w:t>
            </w:r>
          </w:p>
        </w:tc>
        <w:tc>
          <w:tcPr>
            <w:tcW w:w="1511" w:type="dxa"/>
            <w:tcBorders>
              <w:top w:val="nil"/>
              <w:left w:val="nil"/>
              <w:bottom w:val="nil"/>
              <w:right w:val="nil"/>
            </w:tcBorders>
            <w:shd w:val="clear" w:color="000000" w:fill="FCD5B4"/>
            <w:vAlign w:val="center"/>
            <w:hideMark/>
          </w:tcPr>
          <w:p w:rsidR="00D01AD7" w:rsidRPr="00D01AD7" w:rsidRDefault="00D01AD7" w:rsidP="00E65154">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31,9</w:t>
            </w:r>
            <w:r w:rsidR="00E65154">
              <w:rPr>
                <w:rFonts w:ascii="Arial" w:eastAsia="Times New Roman" w:hAnsi="Arial" w:cs="Arial"/>
                <w:color w:val="000000"/>
                <w:sz w:val="18"/>
                <w:szCs w:val="18"/>
              </w:rPr>
              <w:t>2</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34,4</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1,85</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1,75</w:t>
            </w:r>
          </w:p>
        </w:tc>
      </w:tr>
      <w:tr w:rsidR="00864A28" w:rsidRPr="00D01AD7" w:rsidTr="00864A28">
        <w:trPr>
          <w:trHeight w:val="40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Educação e Saúde mercantis</w:t>
            </w:r>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2,48</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2,55</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1,84</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2,93</w:t>
            </w:r>
          </w:p>
        </w:tc>
      </w:tr>
      <w:tr w:rsidR="00864A28" w:rsidRPr="00D01AD7" w:rsidTr="00864A28">
        <w:trPr>
          <w:trHeight w:val="405"/>
        </w:trPr>
        <w:tc>
          <w:tcPr>
            <w:tcW w:w="4268" w:type="dxa"/>
            <w:tcBorders>
              <w:top w:val="nil"/>
              <w:left w:val="nil"/>
              <w:bottom w:val="nil"/>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 xml:space="preserve">Artes, cultura e esportes e </w:t>
            </w:r>
            <w:proofErr w:type="gramStart"/>
            <w:r w:rsidRPr="00D01AD7">
              <w:rPr>
                <w:rFonts w:ascii="Arial" w:eastAsia="Times New Roman" w:hAnsi="Arial" w:cs="Arial"/>
                <w:b/>
                <w:bCs/>
                <w:sz w:val="18"/>
                <w:szCs w:val="18"/>
              </w:rPr>
              <w:t>recreação</w:t>
            </w:r>
            <w:proofErr w:type="gramEnd"/>
          </w:p>
        </w:tc>
        <w:tc>
          <w:tcPr>
            <w:tcW w:w="151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1,74</w:t>
            </w:r>
          </w:p>
        </w:tc>
        <w:tc>
          <w:tcPr>
            <w:tcW w:w="591"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1,33</w:t>
            </w:r>
          </w:p>
        </w:tc>
        <w:tc>
          <w:tcPr>
            <w:tcW w:w="1559"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7,83</w:t>
            </w:r>
          </w:p>
        </w:tc>
        <w:tc>
          <w:tcPr>
            <w:tcW w:w="875" w:type="dxa"/>
            <w:tcBorders>
              <w:top w:val="nil"/>
              <w:left w:val="nil"/>
              <w:bottom w:val="nil"/>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-0,32</w:t>
            </w:r>
          </w:p>
        </w:tc>
      </w:tr>
      <w:tr w:rsidR="00864A28" w:rsidRPr="00D01AD7" w:rsidTr="00864A28">
        <w:trPr>
          <w:trHeight w:val="315"/>
        </w:trPr>
        <w:tc>
          <w:tcPr>
            <w:tcW w:w="4268" w:type="dxa"/>
            <w:tcBorders>
              <w:top w:val="nil"/>
              <w:left w:val="nil"/>
              <w:bottom w:val="single" w:sz="12" w:space="0" w:color="auto"/>
              <w:right w:val="nil"/>
            </w:tcBorders>
            <w:shd w:val="clear" w:color="000000" w:fill="E26B0A"/>
            <w:vAlign w:val="center"/>
            <w:hideMark/>
          </w:tcPr>
          <w:p w:rsidR="00D01AD7" w:rsidRPr="00D01AD7" w:rsidRDefault="00D01AD7" w:rsidP="00D01AD7">
            <w:pPr>
              <w:spacing w:after="0" w:line="240" w:lineRule="auto"/>
              <w:rPr>
                <w:rFonts w:ascii="Arial" w:eastAsia="Times New Roman" w:hAnsi="Arial" w:cs="Arial"/>
                <w:b/>
                <w:bCs/>
                <w:sz w:val="18"/>
                <w:szCs w:val="18"/>
              </w:rPr>
            </w:pPr>
            <w:r w:rsidRPr="00D01AD7">
              <w:rPr>
                <w:rFonts w:ascii="Arial" w:eastAsia="Times New Roman" w:hAnsi="Arial" w:cs="Arial"/>
                <w:b/>
                <w:bCs/>
                <w:sz w:val="18"/>
                <w:szCs w:val="18"/>
              </w:rPr>
              <w:t xml:space="preserve">Serviços </w:t>
            </w:r>
            <w:r w:rsidR="00D018F1" w:rsidRPr="00D01AD7">
              <w:rPr>
                <w:rFonts w:ascii="Arial" w:eastAsia="Times New Roman" w:hAnsi="Arial" w:cs="Arial"/>
                <w:b/>
                <w:bCs/>
                <w:sz w:val="18"/>
                <w:szCs w:val="18"/>
              </w:rPr>
              <w:t>Domésticos</w:t>
            </w:r>
          </w:p>
        </w:tc>
        <w:tc>
          <w:tcPr>
            <w:tcW w:w="1511" w:type="dxa"/>
            <w:tcBorders>
              <w:top w:val="nil"/>
              <w:left w:val="nil"/>
              <w:bottom w:val="single" w:sz="12" w:space="0" w:color="auto"/>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1,56</w:t>
            </w:r>
          </w:p>
        </w:tc>
        <w:tc>
          <w:tcPr>
            <w:tcW w:w="591" w:type="dxa"/>
            <w:tcBorders>
              <w:top w:val="nil"/>
              <w:left w:val="nil"/>
              <w:bottom w:val="single" w:sz="12" w:space="0" w:color="auto"/>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1,93</w:t>
            </w:r>
          </w:p>
        </w:tc>
        <w:tc>
          <w:tcPr>
            <w:tcW w:w="1559" w:type="dxa"/>
            <w:tcBorders>
              <w:top w:val="nil"/>
              <w:left w:val="nil"/>
              <w:bottom w:val="single" w:sz="12" w:space="0" w:color="auto"/>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13,11</w:t>
            </w:r>
          </w:p>
        </w:tc>
        <w:tc>
          <w:tcPr>
            <w:tcW w:w="875" w:type="dxa"/>
            <w:tcBorders>
              <w:top w:val="nil"/>
              <w:left w:val="nil"/>
              <w:bottom w:val="single" w:sz="12" w:space="0" w:color="auto"/>
              <w:right w:val="nil"/>
            </w:tcBorders>
            <w:shd w:val="clear" w:color="000000" w:fill="FCD5B4"/>
            <w:vAlign w:val="center"/>
            <w:hideMark/>
          </w:tcPr>
          <w:p w:rsidR="00D01AD7" w:rsidRPr="00D01AD7" w:rsidRDefault="00D01AD7" w:rsidP="00D01AD7">
            <w:pPr>
              <w:spacing w:after="0" w:line="240" w:lineRule="auto"/>
              <w:jc w:val="center"/>
              <w:rPr>
                <w:rFonts w:ascii="Arial" w:eastAsia="Times New Roman" w:hAnsi="Arial" w:cs="Arial"/>
                <w:color w:val="000000"/>
                <w:sz w:val="18"/>
                <w:szCs w:val="18"/>
              </w:rPr>
            </w:pPr>
            <w:r w:rsidRPr="00D01AD7">
              <w:rPr>
                <w:rFonts w:ascii="Arial" w:eastAsia="Times New Roman" w:hAnsi="Arial" w:cs="Arial"/>
                <w:color w:val="000000"/>
                <w:sz w:val="18"/>
                <w:szCs w:val="18"/>
              </w:rPr>
              <w:t>-4,83</w:t>
            </w:r>
          </w:p>
        </w:tc>
      </w:tr>
    </w:tbl>
    <w:p w:rsidR="00E461A6" w:rsidRDefault="00E60D76" w:rsidP="002843A1">
      <w:pPr>
        <w:spacing w:line="240" w:lineRule="auto"/>
        <w:jc w:val="both"/>
        <w:rPr>
          <w:sz w:val="18"/>
          <w:szCs w:val="18"/>
        </w:rPr>
      </w:pPr>
      <w:r w:rsidRPr="00AB370A">
        <w:rPr>
          <w:sz w:val="18"/>
          <w:szCs w:val="18"/>
        </w:rPr>
        <w:t>Fonte: IBGE, Diretoria de Pesquisa, Coordenação de Contas Nacionais</w:t>
      </w:r>
      <w:r>
        <w:rPr>
          <w:sz w:val="18"/>
          <w:szCs w:val="18"/>
        </w:rPr>
        <w:t xml:space="preserve">; </w:t>
      </w:r>
      <w:r w:rsidR="002714ED">
        <w:rPr>
          <w:sz w:val="18"/>
          <w:szCs w:val="18"/>
        </w:rPr>
        <w:t xml:space="preserve">Elaboração: Fundação </w:t>
      </w:r>
      <w:proofErr w:type="spellStart"/>
      <w:r w:rsidR="00870EEE">
        <w:rPr>
          <w:sz w:val="18"/>
          <w:szCs w:val="18"/>
        </w:rPr>
        <w:t>Cepr</w:t>
      </w:r>
      <w:r w:rsidR="00574149">
        <w:rPr>
          <w:sz w:val="18"/>
          <w:szCs w:val="18"/>
        </w:rPr>
        <w:t>o</w:t>
      </w:r>
      <w:proofErr w:type="spellEnd"/>
      <w:r w:rsidR="00870EEE">
        <w:rPr>
          <w:sz w:val="18"/>
          <w:szCs w:val="18"/>
        </w:rPr>
        <w:t>.</w:t>
      </w:r>
    </w:p>
    <w:p w:rsidR="002843A1" w:rsidRPr="002843A1" w:rsidRDefault="002843A1" w:rsidP="002843A1">
      <w:pPr>
        <w:spacing w:line="240" w:lineRule="auto"/>
        <w:jc w:val="both"/>
        <w:rPr>
          <w:sz w:val="18"/>
          <w:szCs w:val="18"/>
        </w:rPr>
      </w:pPr>
    </w:p>
    <w:p w:rsidR="00B202E1" w:rsidRPr="002B1AB7" w:rsidRDefault="00B202E1" w:rsidP="00EC4346">
      <w:pPr>
        <w:spacing w:after="120" w:line="360" w:lineRule="auto"/>
        <w:ind w:firstLine="567"/>
        <w:jc w:val="both"/>
        <w:rPr>
          <w:b/>
          <w:sz w:val="28"/>
          <w:szCs w:val="28"/>
        </w:rPr>
      </w:pPr>
      <w:r w:rsidRPr="002B1AB7">
        <w:rPr>
          <w:b/>
          <w:sz w:val="28"/>
          <w:szCs w:val="28"/>
        </w:rPr>
        <w:t>Agropecuária</w:t>
      </w:r>
    </w:p>
    <w:p w:rsidR="00A54EF3" w:rsidRPr="002B1AB7" w:rsidRDefault="00B202E1" w:rsidP="00A54EF3">
      <w:pPr>
        <w:spacing w:after="120" w:line="360" w:lineRule="auto"/>
        <w:ind w:firstLine="567"/>
        <w:jc w:val="both"/>
        <w:rPr>
          <w:sz w:val="28"/>
          <w:szCs w:val="28"/>
        </w:rPr>
      </w:pPr>
      <w:r w:rsidRPr="002B1AB7">
        <w:rPr>
          <w:sz w:val="28"/>
          <w:szCs w:val="28"/>
        </w:rPr>
        <w:t>Contr</w:t>
      </w:r>
      <w:r w:rsidR="00F7771C" w:rsidRPr="002B1AB7">
        <w:rPr>
          <w:sz w:val="28"/>
          <w:szCs w:val="28"/>
        </w:rPr>
        <w:t>ibuíram para a retração de -</w:t>
      </w:r>
      <w:r w:rsidR="00832C59">
        <w:rPr>
          <w:sz w:val="28"/>
          <w:szCs w:val="28"/>
        </w:rPr>
        <w:t>26,07</w:t>
      </w:r>
      <w:r w:rsidRPr="002B1AB7">
        <w:rPr>
          <w:sz w:val="28"/>
          <w:szCs w:val="28"/>
        </w:rPr>
        <w:t>%</w:t>
      </w:r>
      <w:r w:rsidR="00E65B1F" w:rsidRPr="002B1AB7">
        <w:rPr>
          <w:sz w:val="28"/>
          <w:szCs w:val="28"/>
        </w:rPr>
        <w:t xml:space="preserve"> na taxa de crescimento</w:t>
      </w:r>
      <w:r w:rsidRPr="002B1AB7">
        <w:rPr>
          <w:sz w:val="28"/>
          <w:szCs w:val="28"/>
        </w:rPr>
        <w:t xml:space="preserve"> da Agropecuária</w:t>
      </w:r>
      <w:r w:rsidR="00F7771C" w:rsidRPr="002B1AB7">
        <w:rPr>
          <w:sz w:val="28"/>
          <w:szCs w:val="28"/>
        </w:rPr>
        <w:t xml:space="preserve"> </w:t>
      </w:r>
      <w:r w:rsidR="00A055EB" w:rsidRPr="002B1AB7">
        <w:rPr>
          <w:sz w:val="28"/>
          <w:szCs w:val="28"/>
        </w:rPr>
        <w:t>no ano de</w:t>
      </w:r>
      <w:r w:rsidR="00F7771C" w:rsidRPr="002B1AB7">
        <w:rPr>
          <w:sz w:val="28"/>
          <w:szCs w:val="28"/>
        </w:rPr>
        <w:t xml:space="preserve"> </w:t>
      </w:r>
      <w:smartTag w:uri="urn:schemas-microsoft-com:office:smarttags" w:element="metricconverter">
        <w:smartTagPr>
          <w:attr w:name="ProductID" w:val="2013 a"/>
        </w:smartTagPr>
        <w:r w:rsidR="00F7771C" w:rsidRPr="002B1AB7">
          <w:rPr>
            <w:sz w:val="28"/>
            <w:szCs w:val="28"/>
          </w:rPr>
          <w:t>2013</w:t>
        </w:r>
        <w:r w:rsidRPr="002B1AB7">
          <w:rPr>
            <w:sz w:val="28"/>
            <w:szCs w:val="28"/>
          </w:rPr>
          <w:t xml:space="preserve"> a</w:t>
        </w:r>
      </w:smartTag>
      <w:r w:rsidRPr="002B1AB7">
        <w:rPr>
          <w:sz w:val="28"/>
          <w:szCs w:val="28"/>
        </w:rPr>
        <w:t xml:space="preserve"> forte escassez de chuvas</w:t>
      </w:r>
      <w:r w:rsidR="00A055EB" w:rsidRPr="002B1AB7">
        <w:rPr>
          <w:sz w:val="28"/>
          <w:szCs w:val="28"/>
        </w:rPr>
        <w:t xml:space="preserve">, assim como, a forma ainda rudimentar como é praticada a agricultura familiar na </w:t>
      </w:r>
      <w:r w:rsidRPr="002B1AB7">
        <w:rPr>
          <w:sz w:val="28"/>
          <w:szCs w:val="28"/>
        </w:rPr>
        <w:t>região do semiá</w:t>
      </w:r>
      <w:r w:rsidR="009F3495" w:rsidRPr="002B1AB7">
        <w:rPr>
          <w:sz w:val="28"/>
          <w:szCs w:val="28"/>
        </w:rPr>
        <w:t>rido</w:t>
      </w:r>
      <w:r w:rsidR="00A055EB" w:rsidRPr="002B1AB7">
        <w:rPr>
          <w:sz w:val="28"/>
          <w:szCs w:val="28"/>
        </w:rPr>
        <w:t xml:space="preserve">. </w:t>
      </w:r>
      <w:r w:rsidRPr="002B1AB7">
        <w:rPr>
          <w:sz w:val="28"/>
          <w:szCs w:val="28"/>
        </w:rPr>
        <w:t xml:space="preserve"> A queda na produção só não </w:t>
      </w:r>
      <w:r w:rsidR="00220949" w:rsidRPr="002B1AB7">
        <w:rPr>
          <w:sz w:val="28"/>
          <w:szCs w:val="28"/>
        </w:rPr>
        <w:t>foi</w:t>
      </w:r>
      <w:r w:rsidRPr="002B1AB7">
        <w:rPr>
          <w:sz w:val="28"/>
          <w:szCs w:val="28"/>
        </w:rPr>
        <w:t xml:space="preserve"> mais expressiva em virtude da região sul</w:t>
      </w:r>
      <w:r w:rsidR="00A055EB" w:rsidRPr="002B1AB7">
        <w:rPr>
          <w:sz w:val="28"/>
          <w:szCs w:val="28"/>
        </w:rPr>
        <w:t>, conhecida como a grande região dos cerrados piauienses</w:t>
      </w:r>
      <w:r w:rsidR="00FC1CBB" w:rsidRPr="002B1AB7">
        <w:rPr>
          <w:sz w:val="28"/>
          <w:szCs w:val="28"/>
        </w:rPr>
        <w:t>,</w:t>
      </w:r>
      <w:r w:rsidRPr="002B1AB7">
        <w:rPr>
          <w:sz w:val="28"/>
          <w:szCs w:val="28"/>
        </w:rPr>
        <w:t xml:space="preserve"> apresentar melhores condições climáticas</w:t>
      </w:r>
      <w:r w:rsidR="00A055EB" w:rsidRPr="002B1AB7">
        <w:rPr>
          <w:sz w:val="28"/>
          <w:szCs w:val="28"/>
        </w:rPr>
        <w:t>, como</w:t>
      </w:r>
      <w:r w:rsidRPr="002B1AB7">
        <w:rPr>
          <w:sz w:val="28"/>
          <w:szCs w:val="28"/>
        </w:rPr>
        <w:t xml:space="preserve"> também pelo uso adequado de tecnologias para </w:t>
      </w:r>
      <w:r w:rsidR="009E7654" w:rsidRPr="002B1AB7">
        <w:rPr>
          <w:sz w:val="28"/>
          <w:szCs w:val="28"/>
        </w:rPr>
        <w:t xml:space="preserve">a </w:t>
      </w:r>
      <w:r w:rsidRPr="002B1AB7">
        <w:rPr>
          <w:sz w:val="28"/>
          <w:szCs w:val="28"/>
        </w:rPr>
        <w:t xml:space="preserve">produção de </w:t>
      </w:r>
      <w:r w:rsidR="00220949" w:rsidRPr="002B1AB7">
        <w:rPr>
          <w:sz w:val="28"/>
          <w:szCs w:val="28"/>
        </w:rPr>
        <w:t xml:space="preserve">grãos. </w:t>
      </w:r>
      <w:r w:rsidRPr="002B1AB7">
        <w:rPr>
          <w:sz w:val="28"/>
          <w:szCs w:val="28"/>
        </w:rPr>
        <w:t xml:space="preserve">A </w:t>
      </w:r>
      <w:r w:rsidR="00121884" w:rsidRPr="002B1AB7">
        <w:rPr>
          <w:sz w:val="28"/>
          <w:szCs w:val="28"/>
        </w:rPr>
        <w:t xml:space="preserve">pecuária e a </w:t>
      </w:r>
      <w:r w:rsidRPr="002B1AB7">
        <w:rPr>
          <w:sz w:val="28"/>
          <w:szCs w:val="28"/>
        </w:rPr>
        <w:t>agricultura t</w:t>
      </w:r>
      <w:r w:rsidR="00121884" w:rsidRPr="002B1AB7">
        <w:rPr>
          <w:sz w:val="28"/>
          <w:szCs w:val="28"/>
        </w:rPr>
        <w:t xml:space="preserve">iveram retração </w:t>
      </w:r>
      <w:r w:rsidRPr="002B1AB7">
        <w:rPr>
          <w:sz w:val="28"/>
          <w:szCs w:val="28"/>
        </w:rPr>
        <w:t xml:space="preserve">de </w:t>
      </w:r>
      <w:r w:rsidR="00121884" w:rsidRPr="002B1AB7">
        <w:rPr>
          <w:sz w:val="28"/>
          <w:szCs w:val="28"/>
        </w:rPr>
        <w:t>(-3,23</w:t>
      </w:r>
      <w:r w:rsidRPr="002B1AB7">
        <w:rPr>
          <w:sz w:val="28"/>
          <w:szCs w:val="28"/>
        </w:rPr>
        <w:t>%</w:t>
      </w:r>
      <w:r w:rsidR="00121884" w:rsidRPr="002B1AB7">
        <w:rPr>
          <w:sz w:val="28"/>
          <w:szCs w:val="28"/>
        </w:rPr>
        <w:t>) e (</w:t>
      </w:r>
      <w:r w:rsidR="005C17AF" w:rsidRPr="002B1AB7">
        <w:rPr>
          <w:sz w:val="28"/>
          <w:szCs w:val="28"/>
        </w:rPr>
        <w:t>-</w:t>
      </w:r>
      <w:r w:rsidR="00121884" w:rsidRPr="002B1AB7">
        <w:rPr>
          <w:sz w:val="28"/>
          <w:szCs w:val="28"/>
        </w:rPr>
        <w:t>36,66</w:t>
      </w:r>
      <w:r w:rsidRPr="002B1AB7">
        <w:rPr>
          <w:sz w:val="28"/>
          <w:szCs w:val="28"/>
        </w:rPr>
        <w:t>%</w:t>
      </w:r>
      <w:r w:rsidR="00121884" w:rsidRPr="002B1AB7">
        <w:rPr>
          <w:sz w:val="28"/>
          <w:szCs w:val="28"/>
        </w:rPr>
        <w:t>) respectivamente</w:t>
      </w:r>
      <w:r w:rsidR="00157031" w:rsidRPr="002B1AB7">
        <w:rPr>
          <w:sz w:val="28"/>
          <w:szCs w:val="28"/>
        </w:rPr>
        <w:t xml:space="preserve"> nas </w:t>
      </w:r>
      <w:r w:rsidR="00157031" w:rsidRPr="002B1AB7">
        <w:rPr>
          <w:sz w:val="28"/>
          <w:szCs w:val="28"/>
        </w:rPr>
        <w:lastRenderedPageBreak/>
        <w:t>taxas de crescimento do Valor Adicionado</w:t>
      </w:r>
      <w:r w:rsidRPr="002B1AB7">
        <w:rPr>
          <w:sz w:val="28"/>
          <w:szCs w:val="28"/>
        </w:rPr>
        <w:t>.</w:t>
      </w:r>
      <w:r w:rsidR="00D73073" w:rsidRPr="002B1AB7">
        <w:rPr>
          <w:sz w:val="28"/>
          <w:szCs w:val="28"/>
        </w:rPr>
        <w:t xml:space="preserve"> </w:t>
      </w:r>
      <w:r w:rsidR="006E0786" w:rsidRPr="002B1AB7">
        <w:rPr>
          <w:sz w:val="28"/>
          <w:szCs w:val="28"/>
        </w:rPr>
        <w:t>Esse fato pode</w:t>
      </w:r>
      <w:r w:rsidR="00844817" w:rsidRPr="002B1AB7">
        <w:rPr>
          <w:sz w:val="28"/>
          <w:szCs w:val="28"/>
        </w:rPr>
        <w:t xml:space="preserve"> </w:t>
      </w:r>
      <w:r w:rsidR="00062937" w:rsidRPr="002B1AB7">
        <w:rPr>
          <w:sz w:val="28"/>
          <w:szCs w:val="28"/>
        </w:rPr>
        <w:t>ser</w:t>
      </w:r>
      <w:r w:rsidR="006E0786" w:rsidRPr="002B1AB7">
        <w:rPr>
          <w:sz w:val="28"/>
          <w:szCs w:val="28"/>
        </w:rPr>
        <w:t xml:space="preserve"> facilmente constatado pela diminuição nos rebanhos bovinos (</w:t>
      </w:r>
      <w:r w:rsidR="00062937" w:rsidRPr="002B1AB7">
        <w:rPr>
          <w:sz w:val="28"/>
          <w:szCs w:val="28"/>
        </w:rPr>
        <w:t>-1,40%</w:t>
      </w:r>
      <w:r w:rsidR="00F64817" w:rsidRPr="002B1AB7">
        <w:rPr>
          <w:sz w:val="28"/>
          <w:szCs w:val="28"/>
        </w:rPr>
        <w:t>),</w:t>
      </w:r>
      <w:r w:rsidR="00844817" w:rsidRPr="002B1AB7">
        <w:rPr>
          <w:sz w:val="28"/>
          <w:szCs w:val="28"/>
        </w:rPr>
        <w:t xml:space="preserve"> </w:t>
      </w:r>
      <w:r w:rsidR="006E0786" w:rsidRPr="002B1AB7">
        <w:rPr>
          <w:sz w:val="28"/>
          <w:szCs w:val="28"/>
        </w:rPr>
        <w:t>suínos (</w:t>
      </w:r>
      <w:r w:rsidR="00062937" w:rsidRPr="002B1AB7">
        <w:rPr>
          <w:sz w:val="28"/>
          <w:szCs w:val="28"/>
        </w:rPr>
        <w:t>-3,79%</w:t>
      </w:r>
      <w:r w:rsidR="006E0786" w:rsidRPr="002B1AB7">
        <w:rPr>
          <w:sz w:val="28"/>
          <w:szCs w:val="28"/>
        </w:rPr>
        <w:t>)</w:t>
      </w:r>
      <w:r w:rsidR="0061018C" w:rsidRPr="002B1AB7">
        <w:rPr>
          <w:sz w:val="28"/>
          <w:szCs w:val="28"/>
        </w:rPr>
        <w:t>, caprinos</w:t>
      </w:r>
      <w:r w:rsidR="00F64817" w:rsidRPr="002B1AB7">
        <w:rPr>
          <w:sz w:val="28"/>
          <w:szCs w:val="28"/>
        </w:rPr>
        <w:t xml:space="preserve"> </w:t>
      </w:r>
      <w:r w:rsidR="0061018C" w:rsidRPr="002B1AB7">
        <w:rPr>
          <w:sz w:val="28"/>
          <w:szCs w:val="28"/>
        </w:rPr>
        <w:t>(</w:t>
      </w:r>
      <w:r w:rsidR="00062937" w:rsidRPr="002B1AB7">
        <w:rPr>
          <w:sz w:val="28"/>
          <w:szCs w:val="28"/>
        </w:rPr>
        <w:t>-3,56%</w:t>
      </w:r>
      <w:r w:rsidR="0061018C" w:rsidRPr="002B1AB7">
        <w:rPr>
          <w:sz w:val="28"/>
          <w:szCs w:val="28"/>
        </w:rPr>
        <w:t>)</w:t>
      </w:r>
      <w:r w:rsidR="006E0786" w:rsidRPr="002B1AB7">
        <w:rPr>
          <w:sz w:val="28"/>
          <w:szCs w:val="28"/>
        </w:rPr>
        <w:t xml:space="preserve"> como também na produção de aves</w:t>
      </w:r>
      <w:r w:rsidR="00062937" w:rsidRPr="002B1AB7">
        <w:rPr>
          <w:sz w:val="28"/>
          <w:szCs w:val="28"/>
        </w:rPr>
        <w:t xml:space="preserve"> (-0,97%)</w:t>
      </w:r>
      <w:r w:rsidR="006E0786" w:rsidRPr="002B1AB7">
        <w:rPr>
          <w:sz w:val="28"/>
          <w:szCs w:val="28"/>
        </w:rPr>
        <w:t>.  E na Agricultura pela queda na produção da soja (</w:t>
      </w:r>
      <w:r w:rsidR="00F64817" w:rsidRPr="002B1AB7">
        <w:rPr>
          <w:sz w:val="28"/>
          <w:szCs w:val="28"/>
        </w:rPr>
        <w:t xml:space="preserve">-25,88%), </w:t>
      </w:r>
      <w:r w:rsidR="006E0786" w:rsidRPr="002B1AB7">
        <w:rPr>
          <w:sz w:val="28"/>
          <w:szCs w:val="28"/>
        </w:rPr>
        <w:t>milho</w:t>
      </w:r>
      <w:r w:rsidR="00844817" w:rsidRPr="002B1AB7">
        <w:rPr>
          <w:sz w:val="28"/>
          <w:szCs w:val="28"/>
        </w:rPr>
        <w:t xml:space="preserve"> </w:t>
      </w:r>
      <w:r w:rsidR="006E0786" w:rsidRPr="002B1AB7">
        <w:rPr>
          <w:sz w:val="28"/>
          <w:szCs w:val="28"/>
        </w:rPr>
        <w:t>(</w:t>
      </w:r>
      <w:r w:rsidR="00F64817" w:rsidRPr="002B1AB7">
        <w:rPr>
          <w:sz w:val="28"/>
          <w:szCs w:val="28"/>
        </w:rPr>
        <w:t>-36,96%</w:t>
      </w:r>
      <w:r w:rsidR="006E0786" w:rsidRPr="002B1AB7">
        <w:rPr>
          <w:sz w:val="28"/>
          <w:szCs w:val="28"/>
        </w:rPr>
        <w:t>), algodão herbáceo (</w:t>
      </w:r>
      <w:r w:rsidR="00F64817" w:rsidRPr="002B1AB7">
        <w:rPr>
          <w:sz w:val="28"/>
          <w:szCs w:val="28"/>
        </w:rPr>
        <w:t>-50,18%</w:t>
      </w:r>
      <w:r w:rsidR="006E0786" w:rsidRPr="002B1AB7">
        <w:rPr>
          <w:sz w:val="28"/>
          <w:szCs w:val="28"/>
        </w:rPr>
        <w:t>) e arroz (</w:t>
      </w:r>
      <w:r w:rsidR="00F64817" w:rsidRPr="002B1AB7">
        <w:rPr>
          <w:sz w:val="28"/>
          <w:szCs w:val="28"/>
        </w:rPr>
        <w:t>-30,84%</w:t>
      </w:r>
      <w:r w:rsidR="00A54EF3" w:rsidRPr="002B1AB7">
        <w:rPr>
          <w:sz w:val="28"/>
          <w:szCs w:val="28"/>
        </w:rPr>
        <w:t xml:space="preserve">). </w:t>
      </w:r>
      <w:r w:rsidR="006E0786" w:rsidRPr="002B1AB7">
        <w:rPr>
          <w:sz w:val="28"/>
          <w:szCs w:val="28"/>
        </w:rPr>
        <w:t xml:space="preserve"> </w:t>
      </w:r>
      <w:r w:rsidR="00A54EF3" w:rsidRPr="002B1AB7">
        <w:rPr>
          <w:sz w:val="28"/>
          <w:szCs w:val="28"/>
        </w:rPr>
        <w:t xml:space="preserve">Essa queda é justificada em razão da escassez de chuvas nas fases mais importantes do plantio e desenvolvimento dessas culturas.   O feijão embora prejudicado com a escassez de chuvas na época de início </w:t>
      </w:r>
      <w:r w:rsidR="00FA3315" w:rsidRPr="002B1AB7">
        <w:rPr>
          <w:sz w:val="28"/>
          <w:szCs w:val="28"/>
        </w:rPr>
        <w:t xml:space="preserve">do plantio, </w:t>
      </w:r>
      <w:r w:rsidR="00A54EF3" w:rsidRPr="002B1AB7">
        <w:rPr>
          <w:sz w:val="28"/>
          <w:szCs w:val="28"/>
        </w:rPr>
        <w:t>foi a cultura que apresentou maior crescimento na produção de grãos de 2013, com acréscimo de 50,20%.</w:t>
      </w:r>
    </w:p>
    <w:p w:rsidR="005E0DC4" w:rsidRPr="002B1AB7" w:rsidRDefault="00FC30AD" w:rsidP="005E0DC4">
      <w:pPr>
        <w:spacing w:after="120" w:line="360" w:lineRule="auto"/>
        <w:ind w:firstLine="567"/>
        <w:jc w:val="both"/>
        <w:rPr>
          <w:sz w:val="28"/>
          <w:szCs w:val="28"/>
        </w:rPr>
      </w:pPr>
      <w:r w:rsidRPr="002B1AB7">
        <w:rPr>
          <w:sz w:val="28"/>
          <w:szCs w:val="28"/>
        </w:rPr>
        <w:t>Na safra de 2013</w:t>
      </w:r>
      <w:r w:rsidR="00CC4BBA" w:rsidRPr="002B1AB7">
        <w:rPr>
          <w:sz w:val="28"/>
          <w:szCs w:val="28"/>
        </w:rPr>
        <w:t>,</w:t>
      </w:r>
      <w:r w:rsidRPr="002B1AB7">
        <w:rPr>
          <w:sz w:val="28"/>
          <w:szCs w:val="28"/>
        </w:rPr>
        <w:t xml:space="preserve"> comparando–se com 2012</w:t>
      </w:r>
      <w:r w:rsidR="00CC4BBA" w:rsidRPr="002B1AB7">
        <w:rPr>
          <w:sz w:val="28"/>
          <w:szCs w:val="28"/>
        </w:rPr>
        <w:t xml:space="preserve"> (2.219.595</w:t>
      </w:r>
      <w:r w:rsidR="00193B9F">
        <w:rPr>
          <w:sz w:val="28"/>
          <w:szCs w:val="28"/>
        </w:rPr>
        <w:t>t</w:t>
      </w:r>
      <w:r w:rsidR="00CC4BBA" w:rsidRPr="002B1AB7">
        <w:rPr>
          <w:sz w:val="28"/>
          <w:szCs w:val="28"/>
        </w:rPr>
        <w:t>),</w:t>
      </w:r>
      <w:r w:rsidR="00D73073" w:rsidRPr="002B1AB7">
        <w:rPr>
          <w:sz w:val="28"/>
          <w:szCs w:val="28"/>
        </w:rPr>
        <w:t xml:space="preserve"> em números absolutos colheu</w:t>
      </w:r>
      <w:r w:rsidR="00DD7413" w:rsidRPr="002B1AB7">
        <w:rPr>
          <w:sz w:val="28"/>
          <w:szCs w:val="28"/>
        </w:rPr>
        <w:t xml:space="preserve">–se </w:t>
      </w:r>
      <w:r w:rsidR="008A2F6B" w:rsidRPr="002B1AB7">
        <w:rPr>
          <w:sz w:val="28"/>
          <w:szCs w:val="28"/>
        </w:rPr>
        <w:t>1.561.521</w:t>
      </w:r>
      <w:r w:rsidR="00DD7413" w:rsidRPr="002B1AB7">
        <w:rPr>
          <w:sz w:val="28"/>
          <w:szCs w:val="28"/>
        </w:rPr>
        <w:t xml:space="preserve"> tonela</w:t>
      </w:r>
      <w:r w:rsidR="00D73073" w:rsidRPr="002B1AB7">
        <w:rPr>
          <w:sz w:val="28"/>
          <w:szCs w:val="28"/>
        </w:rPr>
        <w:t>das de grãos</w:t>
      </w:r>
      <w:r w:rsidR="00534E40" w:rsidRPr="002B1AB7">
        <w:rPr>
          <w:sz w:val="28"/>
          <w:szCs w:val="28"/>
        </w:rPr>
        <w:t>, caracterizando uma queda de -29,65%.</w:t>
      </w:r>
      <w:r w:rsidR="007C4145">
        <w:rPr>
          <w:sz w:val="28"/>
          <w:szCs w:val="28"/>
        </w:rPr>
        <w:t xml:space="preserve"> A soja, mesmo a</w:t>
      </w:r>
      <w:r w:rsidR="005E0DC4" w:rsidRPr="002B1AB7">
        <w:rPr>
          <w:sz w:val="28"/>
          <w:szCs w:val="28"/>
        </w:rPr>
        <w:t xml:space="preserve">presentando queda na produção em relação à safra passada continua sendo o carro-chefe da economia agrícola do Estado. Além disso é o produto que vem ganhando tradição de cultivo na região dos cerrados, por  ter transformado ao longo dos últimos anos o perfil do agricultor do sul do estado, destacando-se no cenário nacional pela obtenção dos melhores índices de produtividade do país.     </w:t>
      </w:r>
    </w:p>
    <w:p w:rsidR="005B2FF0" w:rsidRPr="002B1AB7" w:rsidRDefault="0028661D" w:rsidP="002843A1">
      <w:pPr>
        <w:spacing w:after="120" w:line="360" w:lineRule="auto"/>
        <w:ind w:firstLine="567"/>
        <w:jc w:val="both"/>
        <w:rPr>
          <w:sz w:val="28"/>
          <w:szCs w:val="28"/>
        </w:rPr>
      </w:pPr>
      <w:r w:rsidRPr="002B1AB7">
        <w:rPr>
          <w:sz w:val="28"/>
          <w:szCs w:val="28"/>
        </w:rPr>
        <w:t xml:space="preserve"> </w:t>
      </w:r>
      <w:r w:rsidR="00B837A5" w:rsidRPr="002B1AB7">
        <w:rPr>
          <w:sz w:val="28"/>
          <w:szCs w:val="28"/>
        </w:rPr>
        <w:t xml:space="preserve"> </w:t>
      </w:r>
      <w:r w:rsidR="005B2FF0" w:rsidRPr="002B1AB7">
        <w:rPr>
          <w:sz w:val="28"/>
          <w:szCs w:val="28"/>
        </w:rPr>
        <w:t xml:space="preserve">Na </w:t>
      </w:r>
      <w:r w:rsidR="00A640ED" w:rsidRPr="002B1AB7">
        <w:rPr>
          <w:sz w:val="28"/>
          <w:szCs w:val="28"/>
        </w:rPr>
        <w:t xml:space="preserve">atividade </w:t>
      </w:r>
      <w:r w:rsidR="00333B29" w:rsidRPr="002B1AB7">
        <w:rPr>
          <w:sz w:val="28"/>
          <w:szCs w:val="28"/>
        </w:rPr>
        <w:t>pesca</w:t>
      </w:r>
      <w:r w:rsidR="00870EEE" w:rsidRPr="002B1AB7">
        <w:rPr>
          <w:sz w:val="28"/>
          <w:szCs w:val="28"/>
        </w:rPr>
        <w:t xml:space="preserve"> </w:t>
      </w:r>
      <w:r w:rsidR="000D124A" w:rsidRPr="002B1AB7">
        <w:rPr>
          <w:sz w:val="28"/>
          <w:szCs w:val="28"/>
        </w:rPr>
        <w:t xml:space="preserve">houve crescimento </w:t>
      </w:r>
      <w:r w:rsidR="007D7FB8" w:rsidRPr="002B1AB7">
        <w:rPr>
          <w:sz w:val="28"/>
          <w:szCs w:val="28"/>
        </w:rPr>
        <w:t>de 12</w:t>
      </w:r>
      <w:r w:rsidR="003640AA" w:rsidRPr="002B1AB7">
        <w:rPr>
          <w:sz w:val="28"/>
          <w:szCs w:val="28"/>
        </w:rPr>
        <w:t>,3% no ano em estudo.</w:t>
      </w:r>
    </w:p>
    <w:p w:rsidR="002843A1" w:rsidRPr="002B1AB7" w:rsidRDefault="002843A1" w:rsidP="002843A1">
      <w:pPr>
        <w:spacing w:after="120" w:line="360" w:lineRule="auto"/>
        <w:ind w:firstLine="567"/>
        <w:jc w:val="both"/>
        <w:rPr>
          <w:sz w:val="28"/>
          <w:szCs w:val="28"/>
        </w:rPr>
      </w:pPr>
    </w:p>
    <w:p w:rsidR="0030404D" w:rsidRPr="002B1AB7" w:rsidRDefault="0030404D" w:rsidP="00F12319">
      <w:pPr>
        <w:spacing w:after="120" w:line="360" w:lineRule="auto"/>
        <w:jc w:val="both"/>
        <w:rPr>
          <w:b/>
          <w:sz w:val="28"/>
          <w:szCs w:val="28"/>
        </w:rPr>
      </w:pPr>
      <w:r w:rsidRPr="002B1AB7">
        <w:rPr>
          <w:b/>
          <w:sz w:val="28"/>
          <w:szCs w:val="28"/>
        </w:rPr>
        <w:t>Indústria</w:t>
      </w:r>
    </w:p>
    <w:p w:rsidR="0030404D" w:rsidRPr="002B1AB7" w:rsidRDefault="0030404D" w:rsidP="00EC4346">
      <w:pPr>
        <w:spacing w:after="120" w:line="360" w:lineRule="auto"/>
        <w:ind w:firstLine="567"/>
        <w:jc w:val="both"/>
        <w:rPr>
          <w:sz w:val="28"/>
          <w:szCs w:val="28"/>
        </w:rPr>
      </w:pPr>
      <w:r w:rsidRPr="002B1AB7">
        <w:rPr>
          <w:sz w:val="28"/>
          <w:szCs w:val="28"/>
        </w:rPr>
        <w:t xml:space="preserve">A atividade industrial é composta pela indústria extrativa mineral, indústria de transformação, </w:t>
      </w:r>
      <w:r w:rsidR="00721AD6" w:rsidRPr="002B1AB7">
        <w:rPr>
          <w:sz w:val="28"/>
          <w:szCs w:val="28"/>
        </w:rPr>
        <w:t xml:space="preserve">construção civil, </w:t>
      </w:r>
      <w:r w:rsidRPr="002B1AB7">
        <w:rPr>
          <w:sz w:val="28"/>
          <w:szCs w:val="28"/>
        </w:rPr>
        <w:t>produção e di</w:t>
      </w:r>
      <w:r w:rsidR="00721AD6" w:rsidRPr="002B1AB7">
        <w:rPr>
          <w:sz w:val="28"/>
          <w:szCs w:val="28"/>
        </w:rPr>
        <w:t xml:space="preserve">stribuição de eletricidade e gás, </w:t>
      </w:r>
      <w:r w:rsidRPr="002B1AB7">
        <w:rPr>
          <w:sz w:val="28"/>
          <w:szCs w:val="28"/>
        </w:rPr>
        <w:t>água</w:t>
      </w:r>
      <w:r w:rsidR="00721AD6" w:rsidRPr="002B1AB7">
        <w:rPr>
          <w:sz w:val="28"/>
          <w:szCs w:val="28"/>
        </w:rPr>
        <w:t>,</w:t>
      </w:r>
      <w:r w:rsidRPr="002B1AB7">
        <w:rPr>
          <w:sz w:val="28"/>
          <w:szCs w:val="28"/>
        </w:rPr>
        <w:t xml:space="preserve"> e</w:t>
      </w:r>
      <w:r w:rsidR="00721AD6" w:rsidRPr="002B1AB7">
        <w:rPr>
          <w:sz w:val="28"/>
          <w:szCs w:val="28"/>
        </w:rPr>
        <w:t>sgoto, atividades de resíduos e descontaminação</w:t>
      </w:r>
      <w:r w:rsidR="004D70D6" w:rsidRPr="002B1AB7">
        <w:rPr>
          <w:sz w:val="28"/>
          <w:szCs w:val="28"/>
        </w:rPr>
        <w:t>. Em 2013</w:t>
      </w:r>
      <w:r w:rsidRPr="002B1AB7">
        <w:rPr>
          <w:sz w:val="28"/>
          <w:szCs w:val="28"/>
        </w:rPr>
        <w:t xml:space="preserve"> ess</w:t>
      </w:r>
      <w:r w:rsidR="007C7836" w:rsidRPr="002B1AB7">
        <w:rPr>
          <w:sz w:val="28"/>
          <w:szCs w:val="28"/>
        </w:rPr>
        <w:t xml:space="preserve">as atividades representaram </w:t>
      </w:r>
      <w:r w:rsidR="004B0B99" w:rsidRPr="002B1AB7">
        <w:rPr>
          <w:sz w:val="28"/>
          <w:szCs w:val="28"/>
        </w:rPr>
        <w:t>12,36</w:t>
      </w:r>
      <w:r w:rsidRPr="002B1AB7">
        <w:rPr>
          <w:sz w:val="28"/>
          <w:szCs w:val="28"/>
        </w:rPr>
        <w:t xml:space="preserve">% da </w:t>
      </w:r>
      <w:r w:rsidR="00C36C2E" w:rsidRPr="002B1AB7">
        <w:rPr>
          <w:sz w:val="28"/>
          <w:szCs w:val="28"/>
        </w:rPr>
        <w:t xml:space="preserve">economia </w:t>
      </w:r>
      <w:r w:rsidR="004B0B99" w:rsidRPr="002B1AB7">
        <w:rPr>
          <w:sz w:val="28"/>
          <w:szCs w:val="28"/>
        </w:rPr>
        <w:t>p</w:t>
      </w:r>
      <w:r w:rsidR="00C36C2E" w:rsidRPr="002B1AB7">
        <w:rPr>
          <w:sz w:val="28"/>
          <w:szCs w:val="28"/>
        </w:rPr>
        <w:t>iau</w:t>
      </w:r>
      <w:r w:rsidR="004B0B99" w:rsidRPr="002B1AB7">
        <w:rPr>
          <w:sz w:val="28"/>
          <w:szCs w:val="28"/>
        </w:rPr>
        <w:t>iense,</w:t>
      </w:r>
      <w:r w:rsidR="00C36C2E" w:rsidRPr="002B1AB7">
        <w:rPr>
          <w:sz w:val="28"/>
          <w:szCs w:val="28"/>
        </w:rPr>
        <w:t xml:space="preserve"> somando</w:t>
      </w:r>
      <w:r w:rsidR="004B0B99" w:rsidRPr="002B1AB7">
        <w:rPr>
          <w:sz w:val="28"/>
          <w:szCs w:val="28"/>
        </w:rPr>
        <w:t xml:space="preserve"> </w:t>
      </w:r>
      <w:r w:rsidR="00594713" w:rsidRPr="002B1AB7">
        <w:rPr>
          <w:sz w:val="28"/>
          <w:szCs w:val="28"/>
        </w:rPr>
        <w:t>R$</w:t>
      </w:r>
      <w:r w:rsidR="00723754">
        <w:rPr>
          <w:sz w:val="28"/>
          <w:szCs w:val="28"/>
        </w:rPr>
        <w:t xml:space="preserve"> </w:t>
      </w:r>
      <w:r w:rsidR="004B0B99" w:rsidRPr="002B1AB7">
        <w:rPr>
          <w:sz w:val="28"/>
          <w:szCs w:val="28"/>
        </w:rPr>
        <w:t xml:space="preserve">3.438 milhões do Valor Adicionado Bruto do Estado. </w:t>
      </w:r>
      <w:r w:rsidR="00C4513D" w:rsidRPr="002B1AB7">
        <w:rPr>
          <w:sz w:val="28"/>
          <w:szCs w:val="28"/>
        </w:rPr>
        <w:t xml:space="preserve"> Os </w:t>
      </w:r>
      <w:r w:rsidR="00C4513D" w:rsidRPr="002B1AB7">
        <w:rPr>
          <w:sz w:val="28"/>
          <w:szCs w:val="28"/>
        </w:rPr>
        <w:lastRenderedPageBreak/>
        <w:t xml:space="preserve">principais aumentos foram verificados </w:t>
      </w:r>
      <w:r w:rsidR="00AB7DAA" w:rsidRPr="002B1AB7">
        <w:rPr>
          <w:sz w:val="28"/>
          <w:szCs w:val="28"/>
        </w:rPr>
        <w:t xml:space="preserve">na </w:t>
      </w:r>
      <w:r w:rsidR="00A92477" w:rsidRPr="002B1AB7">
        <w:rPr>
          <w:sz w:val="28"/>
          <w:szCs w:val="28"/>
        </w:rPr>
        <w:t>Indústria</w:t>
      </w:r>
      <w:r w:rsidR="00AB7DAA" w:rsidRPr="002B1AB7">
        <w:rPr>
          <w:sz w:val="28"/>
          <w:szCs w:val="28"/>
        </w:rPr>
        <w:t xml:space="preserve"> Extrativa 17,98%, </w:t>
      </w:r>
      <w:r w:rsidR="002D6C6F" w:rsidRPr="002B1AB7">
        <w:rPr>
          <w:sz w:val="28"/>
          <w:szCs w:val="28"/>
        </w:rPr>
        <w:t>n</w:t>
      </w:r>
      <w:r w:rsidR="00AB7DAA" w:rsidRPr="002B1AB7">
        <w:rPr>
          <w:sz w:val="28"/>
          <w:szCs w:val="28"/>
        </w:rPr>
        <w:t xml:space="preserve">a </w:t>
      </w:r>
      <w:r w:rsidRPr="002B1AB7">
        <w:rPr>
          <w:sz w:val="28"/>
          <w:szCs w:val="28"/>
        </w:rPr>
        <w:t xml:space="preserve">Construção Civil </w:t>
      </w:r>
      <w:r w:rsidR="00AB7DAA" w:rsidRPr="002B1AB7">
        <w:rPr>
          <w:sz w:val="28"/>
          <w:szCs w:val="28"/>
        </w:rPr>
        <w:t>9,31</w:t>
      </w:r>
      <w:r w:rsidRPr="002B1AB7">
        <w:rPr>
          <w:sz w:val="28"/>
          <w:szCs w:val="28"/>
        </w:rPr>
        <w:t>%,</w:t>
      </w:r>
      <w:r w:rsidR="002F57E8" w:rsidRPr="002B1AB7">
        <w:rPr>
          <w:sz w:val="28"/>
          <w:szCs w:val="28"/>
        </w:rPr>
        <w:t xml:space="preserve"> </w:t>
      </w:r>
      <w:r w:rsidRPr="002B1AB7">
        <w:rPr>
          <w:sz w:val="28"/>
          <w:szCs w:val="28"/>
        </w:rPr>
        <w:t>e</w:t>
      </w:r>
      <w:r w:rsidR="002D6C6F" w:rsidRPr="002B1AB7">
        <w:rPr>
          <w:sz w:val="28"/>
          <w:szCs w:val="28"/>
        </w:rPr>
        <w:t xml:space="preserve"> na</w:t>
      </w:r>
      <w:r w:rsidRPr="002B1AB7">
        <w:rPr>
          <w:sz w:val="28"/>
          <w:szCs w:val="28"/>
        </w:rPr>
        <w:t xml:space="preserve"> Indústria de Transformação </w:t>
      </w:r>
      <w:r w:rsidR="00AB7DAA" w:rsidRPr="002B1AB7">
        <w:rPr>
          <w:sz w:val="28"/>
          <w:szCs w:val="28"/>
        </w:rPr>
        <w:t>3,40</w:t>
      </w:r>
      <w:r w:rsidRPr="002B1AB7">
        <w:rPr>
          <w:sz w:val="28"/>
          <w:szCs w:val="28"/>
        </w:rPr>
        <w:t>%.</w:t>
      </w:r>
    </w:p>
    <w:p w:rsidR="00493562" w:rsidRDefault="00FA392B" w:rsidP="00493562">
      <w:pPr>
        <w:spacing w:after="120" w:line="360" w:lineRule="auto"/>
        <w:ind w:firstLine="567"/>
        <w:jc w:val="both"/>
        <w:rPr>
          <w:sz w:val="28"/>
          <w:szCs w:val="28"/>
        </w:rPr>
      </w:pPr>
      <w:r w:rsidRPr="002B1AB7">
        <w:rPr>
          <w:sz w:val="28"/>
          <w:szCs w:val="28"/>
        </w:rPr>
        <w:t>Os Serviços Industr</w:t>
      </w:r>
      <w:r w:rsidR="00AB7DAA" w:rsidRPr="002B1AB7">
        <w:rPr>
          <w:sz w:val="28"/>
          <w:szCs w:val="28"/>
        </w:rPr>
        <w:t>iais de Utilidade Pública - SIUP (produção e distribuição de eletricidade e gás, água, esgoto, atividades de resíduos e descontaminação)</w:t>
      </w:r>
      <w:r w:rsidR="00E20FF0" w:rsidRPr="002B1AB7">
        <w:rPr>
          <w:sz w:val="28"/>
          <w:szCs w:val="28"/>
        </w:rPr>
        <w:t xml:space="preserve"> decresceram em 2013</w:t>
      </w:r>
      <w:r w:rsidRPr="002B1AB7">
        <w:rPr>
          <w:sz w:val="28"/>
          <w:szCs w:val="28"/>
        </w:rPr>
        <w:t xml:space="preserve"> a uma taxa de </w:t>
      </w:r>
      <w:r w:rsidR="00E20FF0" w:rsidRPr="002B1AB7">
        <w:rPr>
          <w:sz w:val="28"/>
          <w:szCs w:val="28"/>
        </w:rPr>
        <w:t>0,97%</w:t>
      </w:r>
      <w:r w:rsidRPr="002B1AB7">
        <w:rPr>
          <w:sz w:val="28"/>
          <w:szCs w:val="28"/>
        </w:rPr>
        <w:t xml:space="preserve"> em compar</w:t>
      </w:r>
      <w:r w:rsidR="00E20FF0" w:rsidRPr="002B1AB7">
        <w:rPr>
          <w:sz w:val="28"/>
          <w:szCs w:val="28"/>
        </w:rPr>
        <w:t>ação com o mesmo período de 2012</w:t>
      </w:r>
      <w:r w:rsidRPr="002B1AB7">
        <w:rPr>
          <w:sz w:val="28"/>
          <w:szCs w:val="28"/>
        </w:rPr>
        <w:t>.</w:t>
      </w:r>
      <w:r w:rsidR="00894F8C" w:rsidRPr="002B1AB7">
        <w:rPr>
          <w:sz w:val="28"/>
          <w:szCs w:val="28"/>
        </w:rPr>
        <w:t xml:space="preserve"> </w:t>
      </w:r>
      <w:r w:rsidRPr="002B1AB7">
        <w:rPr>
          <w:sz w:val="28"/>
          <w:szCs w:val="28"/>
        </w:rPr>
        <w:t xml:space="preserve">A distribuição de energia e água </w:t>
      </w:r>
      <w:r w:rsidR="001D66F5" w:rsidRPr="002B1AB7">
        <w:rPr>
          <w:sz w:val="28"/>
          <w:szCs w:val="28"/>
        </w:rPr>
        <w:t>motivou a redução</w:t>
      </w:r>
      <w:r w:rsidRPr="002B1AB7">
        <w:rPr>
          <w:sz w:val="28"/>
          <w:szCs w:val="28"/>
        </w:rPr>
        <w:t xml:space="preserve"> </w:t>
      </w:r>
      <w:r w:rsidR="001D66F5" w:rsidRPr="002B1AB7">
        <w:rPr>
          <w:sz w:val="28"/>
          <w:szCs w:val="28"/>
        </w:rPr>
        <w:t>d</w:t>
      </w:r>
      <w:r w:rsidRPr="002B1AB7">
        <w:rPr>
          <w:sz w:val="28"/>
          <w:szCs w:val="28"/>
        </w:rPr>
        <w:t xml:space="preserve">essa </w:t>
      </w:r>
      <w:r w:rsidR="00870EEE" w:rsidRPr="002B1AB7">
        <w:rPr>
          <w:sz w:val="28"/>
          <w:szCs w:val="28"/>
        </w:rPr>
        <w:t xml:space="preserve">taxa. </w:t>
      </w:r>
      <w:r w:rsidR="00780703" w:rsidRPr="002B1AB7">
        <w:rPr>
          <w:sz w:val="28"/>
          <w:szCs w:val="28"/>
        </w:rPr>
        <w:t xml:space="preserve">Também </w:t>
      </w:r>
      <w:proofErr w:type="gramStart"/>
      <w:r w:rsidR="00594713" w:rsidRPr="002B1AB7">
        <w:rPr>
          <w:sz w:val="28"/>
          <w:szCs w:val="28"/>
        </w:rPr>
        <w:t>observou-se</w:t>
      </w:r>
      <w:proofErr w:type="gramEnd"/>
      <w:r w:rsidR="00780703" w:rsidRPr="002B1AB7">
        <w:rPr>
          <w:sz w:val="28"/>
          <w:szCs w:val="28"/>
        </w:rPr>
        <w:t xml:space="preserve"> retração </w:t>
      </w:r>
      <w:r w:rsidR="00594713" w:rsidRPr="002B1AB7">
        <w:rPr>
          <w:sz w:val="28"/>
          <w:szCs w:val="28"/>
        </w:rPr>
        <w:t>n</w:t>
      </w:r>
      <w:r w:rsidR="00780703" w:rsidRPr="002B1AB7">
        <w:rPr>
          <w:sz w:val="28"/>
          <w:szCs w:val="28"/>
        </w:rPr>
        <w:t>o</w:t>
      </w:r>
      <w:r w:rsidR="0035028B" w:rsidRPr="002B1AB7">
        <w:rPr>
          <w:sz w:val="28"/>
          <w:szCs w:val="28"/>
        </w:rPr>
        <w:t xml:space="preserve"> setor de geração de energia</w:t>
      </w:r>
      <w:r w:rsidR="00780703" w:rsidRPr="002B1AB7">
        <w:rPr>
          <w:sz w:val="28"/>
          <w:szCs w:val="28"/>
        </w:rPr>
        <w:t xml:space="preserve">. </w:t>
      </w:r>
      <w:r w:rsidR="002F36C5">
        <w:rPr>
          <w:sz w:val="28"/>
          <w:szCs w:val="28"/>
        </w:rPr>
        <w:t>A Construção C</w:t>
      </w:r>
      <w:r w:rsidR="00717254" w:rsidRPr="002B1AB7">
        <w:rPr>
          <w:sz w:val="28"/>
          <w:szCs w:val="28"/>
        </w:rPr>
        <w:t>ivil</w:t>
      </w:r>
      <w:r w:rsidR="00646B08" w:rsidRPr="002B1AB7">
        <w:rPr>
          <w:sz w:val="28"/>
          <w:szCs w:val="28"/>
        </w:rPr>
        <w:t xml:space="preserve"> </w:t>
      </w:r>
      <w:r w:rsidR="00717254" w:rsidRPr="002B1AB7">
        <w:rPr>
          <w:sz w:val="28"/>
          <w:szCs w:val="28"/>
        </w:rPr>
        <w:t>experiment</w:t>
      </w:r>
      <w:r w:rsidR="00646B08" w:rsidRPr="002B1AB7">
        <w:rPr>
          <w:sz w:val="28"/>
          <w:szCs w:val="28"/>
        </w:rPr>
        <w:t>ou</w:t>
      </w:r>
      <w:r w:rsidR="00717254" w:rsidRPr="002B1AB7">
        <w:rPr>
          <w:sz w:val="28"/>
          <w:szCs w:val="28"/>
        </w:rPr>
        <w:t xml:space="preserve"> um bom crescimento</w:t>
      </w:r>
      <w:r w:rsidR="00B93425" w:rsidRPr="002B1AB7">
        <w:rPr>
          <w:sz w:val="28"/>
          <w:szCs w:val="28"/>
        </w:rPr>
        <w:t xml:space="preserve"> no ano de</w:t>
      </w:r>
      <w:r w:rsidR="00646B08" w:rsidRPr="002B1AB7">
        <w:rPr>
          <w:sz w:val="28"/>
          <w:szCs w:val="28"/>
        </w:rPr>
        <w:t xml:space="preserve"> 2013</w:t>
      </w:r>
      <w:r w:rsidR="00717254" w:rsidRPr="002B1AB7">
        <w:rPr>
          <w:sz w:val="28"/>
          <w:szCs w:val="28"/>
        </w:rPr>
        <w:t xml:space="preserve">, </w:t>
      </w:r>
      <w:r w:rsidR="00646B08" w:rsidRPr="002B1AB7">
        <w:rPr>
          <w:sz w:val="28"/>
          <w:szCs w:val="28"/>
        </w:rPr>
        <w:t>(</w:t>
      </w:r>
      <w:proofErr w:type="gramStart"/>
      <w:r w:rsidR="00646B08" w:rsidRPr="002B1AB7">
        <w:rPr>
          <w:sz w:val="28"/>
          <w:szCs w:val="28"/>
        </w:rPr>
        <w:t>9,</w:t>
      </w:r>
      <w:proofErr w:type="gramEnd"/>
      <w:r w:rsidR="00646B08" w:rsidRPr="002B1AB7">
        <w:rPr>
          <w:sz w:val="28"/>
          <w:szCs w:val="28"/>
        </w:rPr>
        <w:t>31,%) em relação a 2012 (6,01%)</w:t>
      </w:r>
      <w:r w:rsidR="005D235C" w:rsidRPr="002B1AB7">
        <w:rPr>
          <w:sz w:val="28"/>
          <w:szCs w:val="28"/>
        </w:rPr>
        <w:t>; e</w:t>
      </w:r>
      <w:r w:rsidR="00646B08" w:rsidRPr="002B1AB7">
        <w:rPr>
          <w:sz w:val="28"/>
          <w:szCs w:val="28"/>
        </w:rPr>
        <w:t xml:space="preserve"> </w:t>
      </w:r>
      <w:r w:rsidR="005D235C" w:rsidRPr="002B1AB7">
        <w:rPr>
          <w:sz w:val="28"/>
          <w:szCs w:val="28"/>
        </w:rPr>
        <w:t>a</w:t>
      </w:r>
      <w:r w:rsidR="002F36C5">
        <w:rPr>
          <w:sz w:val="28"/>
          <w:szCs w:val="28"/>
        </w:rPr>
        <w:t xml:space="preserve"> I</w:t>
      </w:r>
      <w:r w:rsidR="0097611D" w:rsidRPr="002B1AB7">
        <w:rPr>
          <w:sz w:val="28"/>
          <w:szCs w:val="28"/>
        </w:rPr>
        <w:t xml:space="preserve">ndústria de </w:t>
      </w:r>
      <w:r w:rsidR="002F36C5">
        <w:rPr>
          <w:sz w:val="28"/>
          <w:szCs w:val="28"/>
        </w:rPr>
        <w:t>T</w:t>
      </w:r>
      <w:r w:rsidR="004907DE" w:rsidRPr="002B1AB7">
        <w:rPr>
          <w:sz w:val="28"/>
          <w:szCs w:val="28"/>
        </w:rPr>
        <w:t>ransformação cresceu em 2013</w:t>
      </w:r>
      <w:r w:rsidR="00AB70B3" w:rsidRPr="002B1AB7">
        <w:rPr>
          <w:sz w:val="28"/>
          <w:szCs w:val="28"/>
        </w:rPr>
        <w:t xml:space="preserve"> (</w:t>
      </w:r>
      <w:r w:rsidR="00444342" w:rsidRPr="002B1AB7">
        <w:rPr>
          <w:sz w:val="28"/>
          <w:szCs w:val="28"/>
        </w:rPr>
        <w:t>3,40%</w:t>
      </w:r>
      <w:r w:rsidR="00AB70B3" w:rsidRPr="002B1AB7">
        <w:rPr>
          <w:sz w:val="28"/>
          <w:szCs w:val="28"/>
        </w:rPr>
        <w:t>)</w:t>
      </w:r>
      <w:r w:rsidR="00290A2A" w:rsidRPr="002B1AB7">
        <w:rPr>
          <w:sz w:val="28"/>
          <w:szCs w:val="28"/>
        </w:rPr>
        <w:t>.</w:t>
      </w:r>
    </w:p>
    <w:p w:rsidR="00493562" w:rsidRDefault="008E2D4B" w:rsidP="00493562">
      <w:pPr>
        <w:spacing w:after="120" w:line="360" w:lineRule="auto"/>
        <w:ind w:firstLine="567"/>
        <w:jc w:val="both"/>
        <w:rPr>
          <w:sz w:val="28"/>
          <w:szCs w:val="28"/>
        </w:rPr>
      </w:pPr>
      <w:r w:rsidRPr="00FA272C">
        <w:rPr>
          <w:sz w:val="28"/>
          <w:szCs w:val="28"/>
        </w:rPr>
        <w:t>A Indústria E</w:t>
      </w:r>
      <w:r w:rsidR="00FA392B" w:rsidRPr="00FA272C">
        <w:rPr>
          <w:sz w:val="28"/>
          <w:szCs w:val="28"/>
        </w:rPr>
        <w:t>xtrativa cresc</w:t>
      </w:r>
      <w:r w:rsidR="00444342" w:rsidRPr="00FA272C">
        <w:rPr>
          <w:sz w:val="28"/>
          <w:szCs w:val="28"/>
        </w:rPr>
        <w:t>eu em 2013 17,98</w:t>
      </w:r>
      <w:r w:rsidR="00FA392B" w:rsidRPr="00FA272C">
        <w:rPr>
          <w:sz w:val="28"/>
          <w:szCs w:val="28"/>
        </w:rPr>
        <w:t>%, com des</w:t>
      </w:r>
      <w:r w:rsidR="00E26B90" w:rsidRPr="00FA272C">
        <w:rPr>
          <w:sz w:val="28"/>
          <w:szCs w:val="28"/>
        </w:rPr>
        <w:t>taque para extração de calcário, dolomita e extração de mineral para fabricação de adubos.</w:t>
      </w:r>
    </w:p>
    <w:p w:rsidR="00E22E16" w:rsidRPr="002B1AB7" w:rsidRDefault="00E22E16" w:rsidP="00493562">
      <w:pPr>
        <w:spacing w:after="120" w:line="360" w:lineRule="auto"/>
        <w:ind w:left="567"/>
        <w:jc w:val="both"/>
        <w:rPr>
          <w:b/>
          <w:sz w:val="28"/>
          <w:szCs w:val="28"/>
        </w:rPr>
      </w:pPr>
      <w:r w:rsidRPr="002B1AB7">
        <w:rPr>
          <w:b/>
          <w:sz w:val="28"/>
          <w:szCs w:val="28"/>
        </w:rPr>
        <w:t>Serviços</w:t>
      </w:r>
    </w:p>
    <w:p w:rsidR="00B150C8" w:rsidRPr="002B1AB7" w:rsidRDefault="00542B01" w:rsidP="00B150C8">
      <w:pPr>
        <w:spacing w:after="120" w:line="360" w:lineRule="auto"/>
        <w:ind w:firstLine="567"/>
        <w:jc w:val="both"/>
        <w:rPr>
          <w:sz w:val="28"/>
          <w:szCs w:val="28"/>
        </w:rPr>
      </w:pPr>
      <w:r w:rsidRPr="002B1AB7">
        <w:rPr>
          <w:sz w:val="28"/>
          <w:szCs w:val="28"/>
        </w:rPr>
        <w:t>Quanto ao</w:t>
      </w:r>
      <w:r w:rsidR="00D8030A" w:rsidRPr="002B1AB7">
        <w:rPr>
          <w:sz w:val="28"/>
          <w:szCs w:val="28"/>
        </w:rPr>
        <w:t>s</w:t>
      </w:r>
      <w:r w:rsidRPr="002B1AB7">
        <w:rPr>
          <w:sz w:val="28"/>
          <w:szCs w:val="28"/>
        </w:rPr>
        <w:t xml:space="preserve"> Serviços, responsável por </w:t>
      </w:r>
      <w:r w:rsidR="00377000" w:rsidRPr="002B1AB7">
        <w:rPr>
          <w:sz w:val="28"/>
          <w:szCs w:val="28"/>
        </w:rPr>
        <w:t>81,26% de participação do Valor Adicionado</w:t>
      </w:r>
      <w:r w:rsidR="007A360D" w:rsidRPr="002B1AB7">
        <w:rPr>
          <w:sz w:val="28"/>
          <w:szCs w:val="28"/>
        </w:rPr>
        <w:t xml:space="preserve"> </w:t>
      </w:r>
      <w:r w:rsidR="00377000" w:rsidRPr="002B1AB7">
        <w:rPr>
          <w:sz w:val="28"/>
          <w:szCs w:val="28"/>
        </w:rPr>
        <w:t>e</w:t>
      </w:r>
      <w:r w:rsidRPr="002B1AB7">
        <w:rPr>
          <w:sz w:val="28"/>
          <w:szCs w:val="28"/>
        </w:rPr>
        <w:t>m 2013</w:t>
      </w:r>
      <w:r w:rsidR="00377000" w:rsidRPr="002B1AB7">
        <w:rPr>
          <w:sz w:val="28"/>
          <w:szCs w:val="28"/>
        </w:rPr>
        <w:t>,</w:t>
      </w:r>
      <w:r w:rsidR="00D8030A" w:rsidRPr="002B1AB7">
        <w:rPr>
          <w:sz w:val="28"/>
          <w:szCs w:val="28"/>
        </w:rPr>
        <w:t xml:space="preserve"> o</w:t>
      </w:r>
      <w:r w:rsidR="006F23F2" w:rsidRPr="002B1AB7">
        <w:rPr>
          <w:sz w:val="28"/>
          <w:szCs w:val="28"/>
        </w:rPr>
        <w:t xml:space="preserve"> </w:t>
      </w:r>
      <w:r w:rsidR="00D8030A" w:rsidRPr="002B1AB7">
        <w:rPr>
          <w:sz w:val="28"/>
          <w:szCs w:val="28"/>
        </w:rPr>
        <w:t xml:space="preserve">setor </w:t>
      </w:r>
      <w:r w:rsidR="006F23F2" w:rsidRPr="002B1AB7">
        <w:rPr>
          <w:sz w:val="28"/>
          <w:szCs w:val="28"/>
        </w:rPr>
        <w:t xml:space="preserve">cresceu a uma taxa de </w:t>
      </w:r>
      <w:r w:rsidR="00EC073E" w:rsidRPr="002B1AB7">
        <w:rPr>
          <w:sz w:val="28"/>
          <w:szCs w:val="28"/>
        </w:rPr>
        <w:t>4,0</w:t>
      </w:r>
      <w:r w:rsidR="006F23F2" w:rsidRPr="002B1AB7">
        <w:rPr>
          <w:sz w:val="28"/>
          <w:szCs w:val="28"/>
        </w:rPr>
        <w:t>%</w:t>
      </w:r>
      <w:r w:rsidR="00D8030A" w:rsidRPr="002B1AB7">
        <w:rPr>
          <w:sz w:val="28"/>
          <w:szCs w:val="28"/>
        </w:rPr>
        <w:t>.</w:t>
      </w:r>
      <w:r w:rsidR="00AD72C5" w:rsidRPr="002B1AB7">
        <w:rPr>
          <w:sz w:val="28"/>
          <w:szCs w:val="28"/>
        </w:rPr>
        <w:t xml:space="preserve"> </w:t>
      </w:r>
      <w:r w:rsidR="00C7443B" w:rsidRPr="002B1AB7">
        <w:rPr>
          <w:sz w:val="28"/>
          <w:szCs w:val="28"/>
        </w:rPr>
        <w:t xml:space="preserve"> O bom desempenho</w:t>
      </w:r>
      <w:r w:rsidR="00EC4346" w:rsidRPr="002B1AB7">
        <w:rPr>
          <w:sz w:val="28"/>
          <w:szCs w:val="28"/>
        </w:rPr>
        <w:t xml:space="preserve"> fez crescer a participação</w:t>
      </w:r>
      <w:r w:rsidR="006F23F2" w:rsidRPr="002B1AB7">
        <w:rPr>
          <w:sz w:val="28"/>
          <w:szCs w:val="28"/>
        </w:rPr>
        <w:t xml:space="preserve"> na economia do</w:t>
      </w:r>
      <w:r w:rsidR="007A360D" w:rsidRPr="002B1AB7">
        <w:rPr>
          <w:sz w:val="28"/>
          <w:szCs w:val="28"/>
        </w:rPr>
        <w:t xml:space="preserve"> E</w:t>
      </w:r>
      <w:r w:rsidR="00C7443B" w:rsidRPr="002B1AB7">
        <w:rPr>
          <w:sz w:val="28"/>
          <w:szCs w:val="28"/>
        </w:rPr>
        <w:t xml:space="preserve">stado em </w:t>
      </w:r>
      <w:r w:rsidR="00AD72C5" w:rsidRPr="002B1AB7">
        <w:rPr>
          <w:sz w:val="28"/>
          <w:szCs w:val="28"/>
        </w:rPr>
        <w:t>4,4</w:t>
      </w:r>
      <w:r w:rsidR="00C623CB" w:rsidRPr="002B1AB7">
        <w:rPr>
          <w:sz w:val="28"/>
          <w:szCs w:val="28"/>
        </w:rPr>
        <w:t xml:space="preserve"> p</w:t>
      </w:r>
      <w:r w:rsidR="006F23F2" w:rsidRPr="002B1AB7">
        <w:rPr>
          <w:sz w:val="28"/>
          <w:szCs w:val="28"/>
        </w:rPr>
        <w:t>ontos percentuais</w:t>
      </w:r>
      <w:r w:rsidR="00C623CB" w:rsidRPr="002B1AB7">
        <w:rPr>
          <w:sz w:val="28"/>
          <w:szCs w:val="28"/>
        </w:rPr>
        <w:t>, c</w:t>
      </w:r>
      <w:r w:rsidR="007A360D" w:rsidRPr="002B1AB7">
        <w:rPr>
          <w:sz w:val="28"/>
          <w:szCs w:val="28"/>
        </w:rPr>
        <w:t>om destaques para as atividades</w:t>
      </w:r>
      <w:r w:rsidR="00176D6D" w:rsidRPr="002B1AB7">
        <w:rPr>
          <w:sz w:val="28"/>
          <w:szCs w:val="28"/>
        </w:rPr>
        <w:t>: Administração Pública</w:t>
      </w:r>
      <w:r w:rsidR="003E6D68" w:rsidRPr="002B1AB7">
        <w:rPr>
          <w:sz w:val="28"/>
          <w:szCs w:val="28"/>
        </w:rPr>
        <w:t xml:space="preserve"> (Administração, educação, saúde, pes</w:t>
      </w:r>
      <w:r w:rsidR="00176D6D" w:rsidRPr="002B1AB7">
        <w:rPr>
          <w:sz w:val="28"/>
          <w:szCs w:val="28"/>
        </w:rPr>
        <w:t>quisa e desenvolvimento público</w:t>
      </w:r>
      <w:r w:rsidR="003E6D68" w:rsidRPr="002B1AB7">
        <w:rPr>
          <w:sz w:val="28"/>
          <w:szCs w:val="28"/>
        </w:rPr>
        <w:t>s, defesa e seguridade social)</w:t>
      </w:r>
      <w:r w:rsidR="007A360D" w:rsidRPr="002B1AB7">
        <w:rPr>
          <w:sz w:val="28"/>
          <w:szCs w:val="28"/>
        </w:rPr>
        <w:t xml:space="preserve"> 34,41%; Comércio 18,49%; Atividades Imobiliárias 7,74%; Atividades Profissionais Científicas e Tecnológicas 4,90%</w:t>
      </w:r>
      <w:r w:rsidR="00090019" w:rsidRPr="002B1AB7">
        <w:rPr>
          <w:sz w:val="28"/>
          <w:szCs w:val="28"/>
        </w:rPr>
        <w:t xml:space="preserve">; </w:t>
      </w:r>
      <w:r w:rsidR="007A360D" w:rsidRPr="002B1AB7">
        <w:rPr>
          <w:sz w:val="28"/>
          <w:szCs w:val="28"/>
        </w:rPr>
        <w:t>e Alojamento e Alimentação 3,40%.</w:t>
      </w:r>
    </w:p>
    <w:p w:rsidR="007519CB" w:rsidRPr="002B1AB7" w:rsidRDefault="00B5645C" w:rsidP="00B150C8">
      <w:pPr>
        <w:spacing w:after="120" w:line="360" w:lineRule="auto"/>
        <w:ind w:firstLine="567"/>
        <w:jc w:val="both"/>
        <w:rPr>
          <w:sz w:val="28"/>
          <w:szCs w:val="28"/>
        </w:rPr>
      </w:pPr>
      <w:r w:rsidRPr="002B1AB7">
        <w:rPr>
          <w:sz w:val="28"/>
          <w:szCs w:val="28"/>
        </w:rPr>
        <w:t xml:space="preserve">A atividade </w:t>
      </w:r>
      <w:r w:rsidR="00DC750F" w:rsidRPr="002B1AB7">
        <w:rPr>
          <w:sz w:val="28"/>
          <w:szCs w:val="28"/>
        </w:rPr>
        <w:t>Comércio ganhou participação na Economia em 2</w:t>
      </w:r>
      <w:r w:rsidR="00F76037" w:rsidRPr="002B1AB7">
        <w:rPr>
          <w:sz w:val="28"/>
          <w:szCs w:val="28"/>
        </w:rPr>
        <w:t>013 saindo de 17,54%</w:t>
      </w:r>
      <w:proofErr w:type="gramStart"/>
      <w:r w:rsidR="000D2D49" w:rsidRPr="002B1AB7">
        <w:rPr>
          <w:sz w:val="28"/>
          <w:szCs w:val="28"/>
        </w:rPr>
        <w:t xml:space="preserve"> </w:t>
      </w:r>
      <w:r w:rsidR="00F76037" w:rsidRPr="002B1AB7">
        <w:rPr>
          <w:sz w:val="28"/>
          <w:szCs w:val="28"/>
        </w:rPr>
        <w:t xml:space="preserve"> </w:t>
      </w:r>
      <w:proofErr w:type="gramEnd"/>
      <w:r w:rsidR="00F76037" w:rsidRPr="002B1AB7">
        <w:rPr>
          <w:sz w:val="28"/>
          <w:szCs w:val="28"/>
        </w:rPr>
        <w:t>para 18,49</w:t>
      </w:r>
      <w:r w:rsidR="004D1751" w:rsidRPr="002B1AB7">
        <w:rPr>
          <w:sz w:val="28"/>
          <w:szCs w:val="28"/>
        </w:rPr>
        <w:t>%</w:t>
      </w:r>
      <w:r w:rsidR="00DC750F" w:rsidRPr="002B1AB7">
        <w:rPr>
          <w:sz w:val="28"/>
          <w:szCs w:val="28"/>
        </w:rPr>
        <w:t>.</w:t>
      </w:r>
      <w:r w:rsidR="00591A25" w:rsidRPr="002B1AB7">
        <w:rPr>
          <w:sz w:val="28"/>
          <w:szCs w:val="28"/>
        </w:rPr>
        <w:t xml:space="preserve"> </w:t>
      </w:r>
      <w:r w:rsidR="00DC750F" w:rsidRPr="002B1AB7">
        <w:rPr>
          <w:sz w:val="28"/>
          <w:szCs w:val="28"/>
        </w:rPr>
        <w:t xml:space="preserve"> </w:t>
      </w:r>
      <w:r w:rsidR="00591A25" w:rsidRPr="002B1AB7">
        <w:rPr>
          <w:sz w:val="28"/>
          <w:szCs w:val="28"/>
        </w:rPr>
        <w:t xml:space="preserve">Também a </w:t>
      </w:r>
      <w:r w:rsidR="00DC750F" w:rsidRPr="002B1AB7">
        <w:rPr>
          <w:sz w:val="28"/>
          <w:szCs w:val="28"/>
        </w:rPr>
        <w:t>atividade</w:t>
      </w:r>
      <w:r w:rsidR="00591A25" w:rsidRPr="002B1AB7">
        <w:rPr>
          <w:sz w:val="28"/>
          <w:szCs w:val="28"/>
        </w:rPr>
        <w:t xml:space="preserve"> </w:t>
      </w:r>
      <w:r w:rsidR="00DC750F" w:rsidRPr="002B1AB7">
        <w:rPr>
          <w:sz w:val="28"/>
          <w:szCs w:val="28"/>
        </w:rPr>
        <w:t>Administração Pública</w:t>
      </w:r>
      <w:r w:rsidR="00591A25" w:rsidRPr="002B1AB7">
        <w:rPr>
          <w:sz w:val="28"/>
          <w:szCs w:val="28"/>
        </w:rPr>
        <w:t>,</w:t>
      </w:r>
      <w:r w:rsidR="00870EEE" w:rsidRPr="002B1AB7">
        <w:rPr>
          <w:sz w:val="28"/>
          <w:szCs w:val="28"/>
        </w:rPr>
        <w:t xml:space="preserve"> </w:t>
      </w:r>
      <w:r w:rsidR="00591A25" w:rsidRPr="002B1AB7">
        <w:rPr>
          <w:sz w:val="28"/>
          <w:szCs w:val="28"/>
        </w:rPr>
        <w:t>que representa o maior peso n</w:t>
      </w:r>
      <w:r w:rsidR="00DC750F" w:rsidRPr="002B1AB7">
        <w:rPr>
          <w:sz w:val="28"/>
          <w:szCs w:val="28"/>
        </w:rPr>
        <w:t>a Economia do Estado</w:t>
      </w:r>
      <w:r w:rsidR="00591A25" w:rsidRPr="002B1AB7">
        <w:rPr>
          <w:sz w:val="28"/>
          <w:szCs w:val="28"/>
        </w:rPr>
        <w:t>,</w:t>
      </w:r>
      <w:r w:rsidR="00870EEE" w:rsidRPr="002B1AB7">
        <w:rPr>
          <w:sz w:val="28"/>
          <w:szCs w:val="28"/>
        </w:rPr>
        <w:t xml:space="preserve"> </w:t>
      </w:r>
      <w:r w:rsidR="00591A25" w:rsidRPr="002B1AB7">
        <w:rPr>
          <w:sz w:val="28"/>
          <w:szCs w:val="28"/>
        </w:rPr>
        <w:t xml:space="preserve">aumentou </w:t>
      </w:r>
      <w:r w:rsidR="00FF0736" w:rsidRPr="002B1AB7">
        <w:rPr>
          <w:sz w:val="28"/>
          <w:szCs w:val="28"/>
        </w:rPr>
        <w:t xml:space="preserve">sua </w:t>
      </w:r>
      <w:r w:rsidR="005466B4" w:rsidRPr="002B1AB7">
        <w:rPr>
          <w:sz w:val="28"/>
          <w:szCs w:val="28"/>
        </w:rPr>
        <w:t>participação</w:t>
      </w:r>
      <w:r w:rsidR="00591A25" w:rsidRPr="002B1AB7">
        <w:rPr>
          <w:sz w:val="28"/>
          <w:szCs w:val="28"/>
        </w:rPr>
        <w:t xml:space="preserve">; </w:t>
      </w:r>
      <w:r w:rsidR="00AC016E" w:rsidRPr="002B1AB7">
        <w:rPr>
          <w:sz w:val="28"/>
          <w:szCs w:val="28"/>
        </w:rPr>
        <w:t>em 201</w:t>
      </w:r>
      <w:r w:rsidR="00591A25" w:rsidRPr="002B1AB7">
        <w:rPr>
          <w:sz w:val="28"/>
          <w:szCs w:val="28"/>
        </w:rPr>
        <w:t>2</w:t>
      </w:r>
      <w:r w:rsidR="00AC016E" w:rsidRPr="002B1AB7">
        <w:rPr>
          <w:sz w:val="28"/>
          <w:szCs w:val="28"/>
        </w:rPr>
        <w:t xml:space="preserve"> representava </w:t>
      </w:r>
      <w:r w:rsidR="00591A25" w:rsidRPr="002B1AB7">
        <w:rPr>
          <w:sz w:val="28"/>
          <w:szCs w:val="28"/>
        </w:rPr>
        <w:t>31,92% e em 2013</w:t>
      </w:r>
      <w:r w:rsidR="005466B4" w:rsidRPr="002B1AB7">
        <w:rPr>
          <w:sz w:val="28"/>
          <w:szCs w:val="28"/>
        </w:rPr>
        <w:t xml:space="preserve"> passa</w:t>
      </w:r>
      <w:r w:rsidR="00870EEE" w:rsidRPr="002B1AB7">
        <w:rPr>
          <w:sz w:val="28"/>
          <w:szCs w:val="28"/>
        </w:rPr>
        <w:t xml:space="preserve"> </w:t>
      </w:r>
      <w:r w:rsidR="005466B4" w:rsidRPr="002B1AB7">
        <w:rPr>
          <w:sz w:val="28"/>
          <w:szCs w:val="28"/>
        </w:rPr>
        <w:t>a ser</w:t>
      </w:r>
      <w:r w:rsidR="00AC016E" w:rsidRPr="002B1AB7">
        <w:rPr>
          <w:sz w:val="28"/>
          <w:szCs w:val="28"/>
        </w:rPr>
        <w:t xml:space="preserve"> </w:t>
      </w:r>
      <w:r w:rsidR="00591A25" w:rsidRPr="002B1AB7">
        <w:rPr>
          <w:sz w:val="28"/>
          <w:szCs w:val="28"/>
        </w:rPr>
        <w:t>34,41</w:t>
      </w:r>
      <w:r w:rsidR="00FF0736" w:rsidRPr="002B1AB7">
        <w:rPr>
          <w:sz w:val="28"/>
          <w:szCs w:val="28"/>
        </w:rPr>
        <w:t>%</w:t>
      </w:r>
      <w:r w:rsidR="005466B4" w:rsidRPr="002B1AB7">
        <w:rPr>
          <w:sz w:val="28"/>
          <w:szCs w:val="28"/>
        </w:rPr>
        <w:t>.</w:t>
      </w:r>
    </w:p>
    <w:p w:rsidR="00B150C8" w:rsidRPr="002B1AB7" w:rsidRDefault="00D25028" w:rsidP="00B150C8">
      <w:pPr>
        <w:spacing w:after="120" w:line="360" w:lineRule="auto"/>
        <w:ind w:firstLine="567"/>
        <w:jc w:val="both"/>
        <w:rPr>
          <w:sz w:val="28"/>
          <w:szCs w:val="28"/>
        </w:rPr>
      </w:pPr>
      <w:r w:rsidRPr="002B1AB7">
        <w:rPr>
          <w:sz w:val="28"/>
          <w:szCs w:val="28"/>
        </w:rPr>
        <w:lastRenderedPageBreak/>
        <w:t xml:space="preserve"> </w:t>
      </w:r>
      <w:r w:rsidR="007519CB" w:rsidRPr="002B1AB7">
        <w:rPr>
          <w:sz w:val="28"/>
          <w:szCs w:val="28"/>
        </w:rPr>
        <w:t xml:space="preserve">      </w:t>
      </w:r>
      <w:r w:rsidR="00E94B35" w:rsidRPr="002B1AB7">
        <w:rPr>
          <w:sz w:val="28"/>
          <w:szCs w:val="28"/>
        </w:rPr>
        <w:t>Quanto ao crescimento das atividades do setor Serviços, os mais expressivos foram:</w:t>
      </w:r>
      <w:r w:rsidR="00636281" w:rsidRPr="002B1AB7">
        <w:rPr>
          <w:sz w:val="28"/>
          <w:szCs w:val="28"/>
        </w:rPr>
        <w:t xml:space="preserve"> Serviços de Informação e Comunicação (23,56%),</w:t>
      </w:r>
      <w:proofErr w:type="gramStart"/>
      <w:r w:rsidR="00E94B35" w:rsidRPr="002B1AB7">
        <w:rPr>
          <w:sz w:val="28"/>
          <w:szCs w:val="28"/>
        </w:rPr>
        <w:t xml:space="preserve"> </w:t>
      </w:r>
      <w:r w:rsidR="00636281" w:rsidRPr="002B1AB7">
        <w:rPr>
          <w:sz w:val="28"/>
          <w:szCs w:val="28"/>
        </w:rPr>
        <w:t xml:space="preserve"> </w:t>
      </w:r>
      <w:proofErr w:type="gramEnd"/>
      <w:r w:rsidR="00636281" w:rsidRPr="002B1AB7">
        <w:rPr>
          <w:sz w:val="28"/>
          <w:szCs w:val="28"/>
        </w:rPr>
        <w:t>Atividades profissionais, científicas e técnicas (9,37%)</w:t>
      </w:r>
      <w:r w:rsidR="001606C8" w:rsidRPr="002B1AB7">
        <w:rPr>
          <w:sz w:val="28"/>
          <w:szCs w:val="28"/>
        </w:rPr>
        <w:t>;</w:t>
      </w:r>
      <w:r w:rsidR="00636281" w:rsidRPr="002B1AB7">
        <w:rPr>
          <w:sz w:val="28"/>
          <w:szCs w:val="28"/>
        </w:rPr>
        <w:t xml:space="preserve"> Ativ</w:t>
      </w:r>
      <w:r w:rsidR="00FD5134" w:rsidRPr="002B1AB7">
        <w:rPr>
          <w:sz w:val="28"/>
          <w:szCs w:val="28"/>
        </w:rPr>
        <w:t>idades Financeiras (8,70%)</w:t>
      </w:r>
      <w:r w:rsidR="00E55EF1" w:rsidRPr="002B1AB7">
        <w:rPr>
          <w:sz w:val="28"/>
          <w:szCs w:val="28"/>
        </w:rPr>
        <w:t xml:space="preserve">; </w:t>
      </w:r>
      <w:r w:rsidR="00FD5134" w:rsidRPr="002B1AB7">
        <w:rPr>
          <w:sz w:val="28"/>
          <w:szCs w:val="28"/>
        </w:rPr>
        <w:t xml:space="preserve"> Comé</w:t>
      </w:r>
      <w:r w:rsidR="00636281" w:rsidRPr="002B1AB7">
        <w:rPr>
          <w:sz w:val="28"/>
          <w:szCs w:val="28"/>
        </w:rPr>
        <w:t>rcio (6,38%) e Transportes (5,08%).</w:t>
      </w:r>
    </w:p>
    <w:p w:rsidR="00B43F9D" w:rsidRPr="002B1AB7" w:rsidRDefault="00B43F9D" w:rsidP="00927663">
      <w:pPr>
        <w:spacing w:after="120" w:line="360" w:lineRule="auto"/>
        <w:ind w:firstLine="567"/>
        <w:jc w:val="center"/>
        <w:rPr>
          <w:sz w:val="28"/>
          <w:szCs w:val="28"/>
        </w:rPr>
      </w:pPr>
    </w:p>
    <w:p w:rsidR="00914FBD" w:rsidRPr="002B1AB7" w:rsidRDefault="00C84333" w:rsidP="00F12319">
      <w:pPr>
        <w:spacing w:after="120" w:line="360" w:lineRule="auto"/>
        <w:jc w:val="center"/>
        <w:rPr>
          <w:b/>
          <w:sz w:val="28"/>
          <w:szCs w:val="28"/>
        </w:rPr>
      </w:pPr>
      <w:r w:rsidRPr="002B1AB7">
        <w:rPr>
          <w:b/>
          <w:sz w:val="28"/>
          <w:szCs w:val="28"/>
        </w:rPr>
        <w:t xml:space="preserve">Gráfico 04 – Participação das Atividades Econômicas no Valor </w:t>
      </w:r>
      <w:r w:rsidR="006B27A5" w:rsidRPr="002B1AB7">
        <w:rPr>
          <w:b/>
          <w:sz w:val="28"/>
          <w:szCs w:val="28"/>
        </w:rPr>
        <w:t>Adicionado do Piauí - 2013</w:t>
      </w:r>
    </w:p>
    <w:p w:rsidR="00914FBD" w:rsidRDefault="009861E8" w:rsidP="00E05543">
      <w:pPr>
        <w:spacing w:after="0" w:line="240" w:lineRule="auto"/>
        <w:jc w:val="both"/>
      </w:pPr>
      <w:r>
        <w:rPr>
          <w:noProof/>
        </w:rPr>
        <w:drawing>
          <wp:inline distT="0" distB="0" distL="0" distR="0" wp14:anchorId="35A9DA51" wp14:editId="502915DD">
            <wp:extent cx="5581650" cy="3962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0D76" w:rsidRDefault="00E60D76" w:rsidP="00E60D76">
      <w:pPr>
        <w:spacing w:line="240" w:lineRule="auto"/>
        <w:jc w:val="both"/>
        <w:rPr>
          <w:sz w:val="18"/>
          <w:szCs w:val="18"/>
        </w:rPr>
      </w:pPr>
      <w:r w:rsidRPr="00AB370A">
        <w:rPr>
          <w:sz w:val="18"/>
          <w:szCs w:val="18"/>
        </w:rPr>
        <w:t>Fonte: IBGE, Diretoria de Pesquisa, Coordenação de Contas Nacionais</w:t>
      </w:r>
      <w:r>
        <w:rPr>
          <w:sz w:val="18"/>
          <w:szCs w:val="18"/>
        </w:rPr>
        <w:t xml:space="preserve">; Elaboração: Fundação </w:t>
      </w:r>
      <w:proofErr w:type="spellStart"/>
      <w:r w:rsidR="00870EEE">
        <w:rPr>
          <w:sz w:val="18"/>
          <w:szCs w:val="18"/>
        </w:rPr>
        <w:t>Cepro</w:t>
      </w:r>
      <w:proofErr w:type="spellEnd"/>
      <w:r w:rsidR="00870EEE">
        <w:rPr>
          <w:sz w:val="18"/>
          <w:szCs w:val="18"/>
        </w:rPr>
        <w:t>.</w:t>
      </w:r>
    </w:p>
    <w:p w:rsidR="00B43F9D" w:rsidRDefault="00B43F9D" w:rsidP="00E60D76">
      <w:pPr>
        <w:spacing w:line="240" w:lineRule="auto"/>
        <w:jc w:val="both"/>
        <w:rPr>
          <w:sz w:val="18"/>
          <w:szCs w:val="18"/>
        </w:rPr>
      </w:pPr>
    </w:p>
    <w:p w:rsidR="00B43F9D" w:rsidRDefault="00B43F9D" w:rsidP="00E60D76">
      <w:pPr>
        <w:spacing w:line="240" w:lineRule="auto"/>
        <w:jc w:val="both"/>
        <w:rPr>
          <w:sz w:val="18"/>
          <w:szCs w:val="18"/>
        </w:rPr>
      </w:pPr>
    </w:p>
    <w:p w:rsidR="00F3692A" w:rsidRDefault="00F3692A" w:rsidP="00E60D76">
      <w:pPr>
        <w:spacing w:line="240" w:lineRule="auto"/>
        <w:jc w:val="both"/>
        <w:rPr>
          <w:sz w:val="18"/>
          <w:szCs w:val="18"/>
        </w:rPr>
      </w:pPr>
    </w:p>
    <w:p w:rsidR="00F3692A" w:rsidRDefault="00F3692A" w:rsidP="00E60D76">
      <w:pPr>
        <w:spacing w:line="240" w:lineRule="auto"/>
        <w:jc w:val="both"/>
        <w:rPr>
          <w:sz w:val="18"/>
          <w:szCs w:val="18"/>
        </w:rPr>
      </w:pPr>
    </w:p>
    <w:p w:rsidR="00F3692A" w:rsidRDefault="00F3692A" w:rsidP="00E60D76">
      <w:pPr>
        <w:spacing w:line="240" w:lineRule="auto"/>
        <w:jc w:val="both"/>
        <w:rPr>
          <w:sz w:val="18"/>
          <w:szCs w:val="18"/>
        </w:rPr>
      </w:pPr>
    </w:p>
    <w:tbl>
      <w:tblPr>
        <w:tblpPr w:leftFromText="141" w:rightFromText="141" w:vertAnchor="text" w:horzAnchor="margin" w:tblpY="-621"/>
        <w:tblW w:w="8520" w:type="dxa"/>
        <w:tblCellMar>
          <w:left w:w="70" w:type="dxa"/>
          <w:right w:w="70" w:type="dxa"/>
        </w:tblCellMar>
        <w:tblLook w:val="04A0" w:firstRow="1" w:lastRow="0" w:firstColumn="1" w:lastColumn="0" w:noHBand="0" w:noVBand="1"/>
      </w:tblPr>
      <w:tblGrid>
        <w:gridCol w:w="2121"/>
        <w:gridCol w:w="1155"/>
        <w:gridCol w:w="425"/>
        <w:gridCol w:w="566"/>
        <w:gridCol w:w="851"/>
        <w:gridCol w:w="567"/>
        <w:gridCol w:w="1134"/>
        <w:gridCol w:w="1701"/>
      </w:tblGrid>
      <w:tr w:rsidR="00801B82" w:rsidRPr="00021CC4" w:rsidTr="00801B82">
        <w:trPr>
          <w:trHeight w:val="218"/>
        </w:trPr>
        <w:tc>
          <w:tcPr>
            <w:tcW w:w="8520" w:type="dxa"/>
            <w:gridSpan w:val="8"/>
            <w:tcBorders>
              <w:top w:val="nil"/>
              <w:left w:val="nil"/>
              <w:bottom w:val="nil"/>
              <w:right w:val="nil"/>
            </w:tcBorders>
            <w:shd w:val="clear" w:color="auto" w:fill="auto"/>
            <w:noWrap/>
            <w:vAlign w:val="bottom"/>
            <w:hideMark/>
          </w:tcPr>
          <w:p w:rsidR="00801B82" w:rsidRPr="00021CC4" w:rsidRDefault="00801B82" w:rsidP="00801B82">
            <w:pPr>
              <w:spacing w:after="0" w:line="240" w:lineRule="auto"/>
              <w:rPr>
                <w:rFonts w:ascii="Calibri" w:eastAsia="Times New Roman" w:hAnsi="Calibri" w:cs="Arial"/>
                <w:b/>
                <w:bCs/>
                <w:sz w:val="20"/>
                <w:szCs w:val="20"/>
              </w:rPr>
            </w:pPr>
            <w:r>
              <w:rPr>
                <w:rFonts w:ascii="Calibri" w:eastAsia="Times New Roman" w:hAnsi="Calibri" w:cs="Arial"/>
                <w:b/>
                <w:bCs/>
                <w:sz w:val="20"/>
                <w:szCs w:val="20"/>
              </w:rPr>
              <w:lastRenderedPageBreak/>
              <w:t xml:space="preserve">Tabela </w:t>
            </w:r>
            <w:r w:rsidR="00B865B4">
              <w:rPr>
                <w:rFonts w:ascii="Calibri" w:eastAsia="Times New Roman" w:hAnsi="Calibri" w:cs="Arial"/>
                <w:b/>
                <w:bCs/>
                <w:sz w:val="20"/>
                <w:szCs w:val="20"/>
              </w:rPr>
              <w:t>0</w:t>
            </w:r>
            <w:r>
              <w:rPr>
                <w:rFonts w:ascii="Calibri" w:eastAsia="Times New Roman" w:hAnsi="Calibri" w:cs="Arial"/>
                <w:b/>
                <w:bCs/>
                <w:sz w:val="20"/>
                <w:szCs w:val="20"/>
              </w:rPr>
              <w:t xml:space="preserve">3 - </w:t>
            </w:r>
            <w:r w:rsidRPr="00021CC4">
              <w:rPr>
                <w:rFonts w:ascii="Calibri" w:eastAsia="Times New Roman" w:hAnsi="Calibri" w:cs="Arial"/>
                <w:b/>
                <w:bCs/>
                <w:sz w:val="20"/>
                <w:szCs w:val="20"/>
              </w:rPr>
              <w:t xml:space="preserve">Produto Interno Bruto, população residente e Produto Interno Bruto </w:t>
            </w:r>
            <w:r w:rsidRPr="00021CC4">
              <w:rPr>
                <w:rFonts w:ascii="Calibri" w:eastAsia="Times New Roman" w:hAnsi="Calibri" w:cs="Arial"/>
                <w:b/>
                <w:bCs/>
                <w:i/>
                <w:iCs/>
                <w:sz w:val="20"/>
                <w:szCs w:val="20"/>
              </w:rPr>
              <w:t>per capita,</w:t>
            </w:r>
          </w:p>
        </w:tc>
      </w:tr>
      <w:tr w:rsidR="00801B82" w:rsidRPr="00021CC4" w:rsidTr="00801B82">
        <w:trPr>
          <w:trHeight w:val="218"/>
        </w:trPr>
        <w:tc>
          <w:tcPr>
            <w:tcW w:w="8520" w:type="dxa"/>
            <w:gridSpan w:val="8"/>
            <w:tcBorders>
              <w:top w:val="nil"/>
              <w:left w:val="nil"/>
              <w:bottom w:val="nil"/>
              <w:right w:val="nil"/>
            </w:tcBorders>
            <w:shd w:val="clear" w:color="auto" w:fill="auto"/>
            <w:noWrap/>
            <w:vAlign w:val="bottom"/>
            <w:hideMark/>
          </w:tcPr>
          <w:p w:rsidR="00801B82" w:rsidRPr="00021CC4" w:rsidRDefault="00801B82" w:rsidP="00801B82">
            <w:pPr>
              <w:spacing w:after="0" w:line="240" w:lineRule="auto"/>
              <w:jc w:val="center"/>
              <w:rPr>
                <w:rFonts w:ascii="Calibri" w:eastAsia="Times New Roman" w:hAnsi="Calibri" w:cs="Arial"/>
                <w:b/>
                <w:bCs/>
                <w:sz w:val="20"/>
                <w:szCs w:val="20"/>
              </w:rPr>
            </w:pPr>
            <w:proofErr w:type="gramStart"/>
            <w:r w:rsidRPr="00021CC4">
              <w:rPr>
                <w:rFonts w:ascii="Calibri" w:eastAsia="Times New Roman" w:hAnsi="Calibri" w:cs="Arial"/>
                <w:b/>
                <w:bCs/>
                <w:sz w:val="20"/>
                <w:szCs w:val="20"/>
              </w:rPr>
              <w:t>segundo</w:t>
            </w:r>
            <w:proofErr w:type="gramEnd"/>
            <w:r w:rsidRPr="00021CC4">
              <w:rPr>
                <w:rFonts w:ascii="Calibri" w:eastAsia="Times New Roman" w:hAnsi="Calibri" w:cs="Arial"/>
                <w:b/>
                <w:bCs/>
                <w:sz w:val="20"/>
                <w:szCs w:val="20"/>
              </w:rPr>
              <w:t xml:space="preserve"> as Grandes Regiões e as Unidades da Federação - 2013</w:t>
            </w:r>
          </w:p>
        </w:tc>
      </w:tr>
      <w:tr w:rsidR="00801B82" w:rsidRPr="00B43F9D" w:rsidTr="00801B82">
        <w:trPr>
          <w:trHeight w:val="87"/>
        </w:trPr>
        <w:tc>
          <w:tcPr>
            <w:tcW w:w="2121" w:type="dxa"/>
            <w:tcBorders>
              <w:top w:val="nil"/>
              <w:left w:val="nil"/>
              <w:bottom w:val="single" w:sz="4" w:space="0" w:color="auto"/>
              <w:right w:val="nil"/>
            </w:tcBorders>
            <w:shd w:val="clear" w:color="auto" w:fill="auto"/>
            <w:noWrap/>
            <w:vAlign w:val="bottom"/>
            <w:hideMark/>
          </w:tcPr>
          <w:p w:rsidR="00801B82" w:rsidRPr="00B43F9D" w:rsidRDefault="00801B82" w:rsidP="00801B82">
            <w:pPr>
              <w:spacing w:after="0" w:line="240" w:lineRule="auto"/>
              <w:rPr>
                <w:rFonts w:ascii="Calibri" w:eastAsia="Times New Roman" w:hAnsi="Calibri" w:cs="Arial"/>
                <w:sz w:val="16"/>
                <w:szCs w:val="16"/>
              </w:rPr>
            </w:pPr>
          </w:p>
        </w:tc>
        <w:tc>
          <w:tcPr>
            <w:tcW w:w="1155" w:type="dxa"/>
            <w:tcBorders>
              <w:top w:val="nil"/>
              <w:left w:val="nil"/>
              <w:bottom w:val="single" w:sz="4" w:space="0" w:color="auto"/>
              <w:right w:val="nil"/>
            </w:tcBorders>
            <w:shd w:val="clear" w:color="auto" w:fill="auto"/>
            <w:noWrap/>
            <w:vAlign w:val="bottom"/>
            <w:hideMark/>
          </w:tcPr>
          <w:p w:rsidR="00801B82" w:rsidRPr="00B43F9D" w:rsidRDefault="00801B82" w:rsidP="00801B82">
            <w:pPr>
              <w:spacing w:after="0" w:line="240" w:lineRule="auto"/>
              <w:rPr>
                <w:rFonts w:ascii="Calibri" w:eastAsia="Times New Roman" w:hAnsi="Calibri" w:cs="Arial"/>
                <w:sz w:val="16"/>
                <w:szCs w:val="16"/>
              </w:rPr>
            </w:pPr>
          </w:p>
        </w:tc>
        <w:tc>
          <w:tcPr>
            <w:tcW w:w="1842" w:type="dxa"/>
            <w:gridSpan w:val="3"/>
            <w:tcBorders>
              <w:top w:val="nil"/>
              <w:left w:val="nil"/>
              <w:bottom w:val="single" w:sz="4" w:space="0" w:color="auto"/>
              <w:right w:val="nil"/>
            </w:tcBorders>
            <w:shd w:val="clear" w:color="auto" w:fill="auto"/>
            <w:noWrap/>
            <w:vAlign w:val="bottom"/>
            <w:hideMark/>
          </w:tcPr>
          <w:p w:rsidR="00801B82" w:rsidRPr="00B43F9D" w:rsidRDefault="00801B82" w:rsidP="00801B82">
            <w:pPr>
              <w:spacing w:after="0" w:line="240" w:lineRule="auto"/>
              <w:jc w:val="center"/>
              <w:rPr>
                <w:rFonts w:ascii="Calibri" w:eastAsia="Times New Roman" w:hAnsi="Calibri" w:cs="Arial"/>
                <w:sz w:val="16"/>
                <w:szCs w:val="16"/>
              </w:rPr>
            </w:pPr>
          </w:p>
        </w:tc>
        <w:tc>
          <w:tcPr>
            <w:tcW w:w="1701" w:type="dxa"/>
            <w:gridSpan w:val="2"/>
            <w:tcBorders>
              <w:top w:val="nil"/>
              <w:left w:val="nil"/>
              <w:bottom w:val="single" w:sz="4" w:space="0" w:color="auto"/>
              <w:right w:val="nil"/>
            </w:tcBorders>
            <w:shd w:val="clear" w:color="auto" w:fill="auto"/>
            <w:noWrap/>
            <w:vAlign w:val="bottom"/>
            <w:hideMark/>
          </w:tcPr>
          <w:p w:rsidR="00801B82" w:rsidRPr="00B43F9D" w:rsidRDefault="00801B82" w:rsidP="00801B82">
            <w:pPr>
              <w:spacing w:after="0" w:line="240" w:lineRule="auto"/>
              <w:jc w:val="center"/>
              <w:rPr>
                <w:rFonts w:ascii="Calibri" w:eastAsia="Times New Roman" w:hAnsi="Calibri" w:cs="Arial"/>
                <w:sz w:val="16"/>
                <w:szCs w:val="16"/>
              </w:rPr>
            </w:pPr>
          </w:p>
        </w:tc>
        <w:tc>
          <w:tcPr>
            <w:tcW w:w="1701" w:type="dxa"/>
            <w:tcBorders>
              <w:top w:val="nil"/>
              <w:left w:val="nil"/>
              <w:bottom w:val="single" w:sz="4" w:space="0" w:color="auto"/>
              <w:right w:val="nil"/>
            </w:tcBorders>
            <w:shd w:val="clear" w:color="auto" w:fill="auto"/>
            <w:noWrap/>
            <w:vAlign w:val="bottom"/>
            <w:hideMark/>
          </w:tcPr>
          <w:p w:rsidR="00801B82" w:rsidRPr="00B43F9D" w:rsidRDefault="00801B82" w:rsidP="00801B82">
            <w:pPr>
              <w:spacing w:after="0" w:line="240" w:lineRule="auto"/>
              <w:jc w:val="center"/>
              <w:rPr>
                <w:rFonts w:ascii="Calibri" w:eastAsia="Times New Roman" w:hAnsi="Calibri" w:cs="Arial"/>
                <w:sz w:val="16"/>
                <w:szCs w:val="16"/>
              </w:rPr>
            </w:pPr>
          </w:p>
        </w:tc>
      </w:tr>
      <w:tr w:rsidR="00801B82" w:rsidRPr="00021CC4" w:rsidTr="00801B82">
        <w:trPr>
          <w:trHeight w:val="300"/>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Grandes Regiões</w:t>
            </w:r>
            <w:r w:rsidRPr="00021CC4">
              <w:rPr>
                <w:rFonts w:ascii="Calibri" w:eastAsia="Times New Roman" w:hAnsi="Calibri" w:cs="Arial"/>
              </w:rPr>
              <w:br/>
              <w:t>e</w:t>
            </w:r>
            <w:r w:rsidRPr="00021CC4">
              <w:rPr>
                <w:rFonts w:ascii="Calibri" w:eastAsia="Times New Roman" w:hAnsi="Calibri" w:cs="Arial"/>
              </w:rPr>
              <w:br/>
              <w:t>Unidades da Federação</w:t>
            </w:r>
          </w:p>
        </w:tc>
        <w:tc>
          <w:tcPr>
            <w:tcW w:w="29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Produto Interno Bruto</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População</w:t>
            </w:r>
            <w:r w:rsidRPr="00021CC4">
              <w:rPr>
                <w:rFonts w:ascii="Calibri" w:eastAsia="Times New Roman" w:hAnsi="Calibri" w:cs="Arial"/>
              </w:rPr>
              <w:br/>
              <w:t>residente</w:t>
            </w:r>
            <w:r w:rsidRPr="00021CC4">
              <w:rPr>
                <w:rFonts w:ascii="Calibri" w:eastAsia="Times New Roman" w:hAnsi="Calibri" w:cs="Arial"/>
              </w:rPr>
              <w:br/>
            </w:r>
            <w:proofErr w:type="gramStart"/>
            <w:r w:rsidRPr="00021CC4">
              <w:rPr>
                <w:rFonts w:ascii="Calibri" w:eastAsia="Times New Roman" w:hAnsi="Calibri" w:cs="Arial"/>
              </w:rPr>
              <w:t>(</w:t>
            </w:r>
            <w:proofErr w:type="gramEnd"/>
            <w:r w:rsidRPr="00021CC4">
              <w:rPr>
                <w:rFonts w:ascii="Calibri" w:eastAsia="Times New Roman" w:hAnsi="Calibri" w:cs="Arial"/>
              </w:rPr>
              <w:t>1 000 hab.)</w:t>
            </w:r>
            <w:r w:rsidRPr="00021CC4">
              <w:rPr>
                <w:rFonts w:ascii="Calibri" w:eastAsia="Times New Roman" w:hAnsi="Calibri" w:cs="Arial"/>
              </w:rPr>
              <w:b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Produto Interno</w:t>
            </w:r>
            <w:r w:rsidRPr="00021CC4">
              <w:rPr>
                <w:rFonts w:ascii="Calibri" w:eastAsia="Times New Roman" w:hAnsi="Calibri" w:cs="Arial"/>
              </w:rPr>
              <w:br/>
              <w:t xml:space="preserve">Bruto </w:t>
            </w:r>
            <w:r w:rsidRPr="00021CC4">
              <w:rPr>
                <w:rFonts w:ascii="Calibri" w:eastAsia="Times New Roman" w:hAnsi="Calibri" w:cs="Arial"/>
                <w:i/>
                <w:iCs/>
              </w:rPr>
              <w:t>per capita</w:t>
            </w:r>
          </w:p>
        </w:tc>
      </w:tr>
      <w:tr w:rsidR="00801B82" w:rsidRPr="00021CC4" w:rsidTr="00801B82">
        <w:trPr>
          <w:trHeight w:val="664"/>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801B82" w:rsidRPr="00021CC4" w:rsidRDefault="00801B82" w:rsidP="00801B82">
            <w:pPr>
              <w:spacing w:after="0" w:line="240" w:lineRule="auto"/>
              <w:rPr>
                <w:rFonts w:ascii="Calibri" w:eastAsia="Times New Roman" w:hAnsi="Calibri" w:cs="Arial"/>
              </w:rPr>
            </w:pPr>
          </w:p>
        </w:tc>
        <w:tc>
          <w:tcPr>
            <w:tcW w:w="1580" w:type="dxa"/>
            <w:gridSpan w:val="2"/>
            <w:tcBorders>
              <w:top w:val="single" w:sz="4" w:space="0" w:color="auto"/>
              <w:left w:val="nil"/>
              <w:bottom w:val="single" w:sz="4" w:space="0" w:color="auto"/>
              <w:right w:val="nil"/>
            </w:tcBorders>
            <w:shd w:val="clear" w:color="auto" w:fill="auto"/>
            <w:noWrap/>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1 000 000 R$</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Variação</w:t>
            </w:r>
            <w:r w:rsidRPr="00021CC4">
              <w:rPr>
                <w:rFonts w:ascii="Calibri" w:eastAsia="Times New Roman" w:hAnsi="Calibri" w:cs="Arial"/>
              </w:rPr>
              <w:br/>
              <w:t>real anual</w:t>
            </w:r>
            <w:r w:rsidRPr="00021CC4">
              <w:rPr>
                <w:rFonts w:ascii="Calibri" w:eastAsia="Times New Roman" w:hAnsi="Calibri" w:cs="Arial"/>
              </w:rPr>
              <w:br/>
            </w:r>
            <w:proofErr w:type="gramStart"/>
            <w:r w:rsidRPr="00021CC4">
              <w:rPr>
                <w:rFonts w:ascii="Calibri" w:eastAsia="Times New Roman" w:hAnsi="Calibri" w:cs="Arial"/>
              </w:rPr>
              <w:t>(</w:t>
            </w:r>
            <w:proofErr w:type="gramEnd"/>
            <w:r w:rsidRPr="00021CC4">
              <w:rPr>
                <w:rFonts w:ascii="Calibri" w:eastAsia="Times New Roman" w:hAnsi="Calibri" w:cs="Arial"/>
              </w:rPr>
              <w:t>%)</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01B82" w:rsidRPr="00021CC4" w:rsidRDefault="00801B82" w:rsidP="00801B82">
            <w:pPr>
              <w:spacing w:after="0" w:line="240" w:lineRule="auto"/>
              <w:rPr>
                <w:rFonts w:ascii="Calibri" w:eastAsia="Times New Roman" w:hAnsi="Calibri"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B82" w:rsidRPr="00021CC4" w:rsidRDefault="00801B82" w:rsidP="00801B82">
            <w:pPr>
              <w:spacing w:after="0" w:line="240" w:lineRule="auto"/>
              <w:rPr>
                <w:rFonts w:ascii="Calibri" w:eastAsia="Times New Roman" w:hAnsi="Calibri" w:cs="Arial"/>
              </w:rPr>
            </w:pPr>
          </w:p>
        </w:tc>
      </w:tr>
      <w:tr w:rsidR="00801B82" w:rsidRPr="00021CC4" w:rsidTr="00801B82">
        <w:trPr>
          <w:trHeight w:val="409"/>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801B82" w:rsidRPr="00021CC4" w:rsidRDefault="00801B82" w:rsidP="00801B82">
            <w:pPr>
              <w:spacing w:after="0" w:line="240" w:lineRule="auto"/>
              <w:rPr>
                <w:rFonts w:ascii="Calibri" w:eastAsia="Times New Roman" w:hAnsi="Calibri" w:cs="Arial"/>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Preços</w:t>
            </w:r>
            <w:r w:rsidRPr="00021CC4">
              <w:rPr>
                <w:rFonts w:ascii="Calibri" w:eastAsia="Times New Roman" w:hAnsi="Calibri" w:cs="Arial"/>
              </w:rPr>
              <w:br/>
              <w:t>correntes</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01B82" w:rsidRPr="00021CC4" w:rsidRDefault="00801B82" w:rsidP="00801B82">
            <w:pPr>
              <w:spacing w:after="0" w:line="240" w:lineRule="auto"/>
              <w:rPr>
                <w:rFonts w:ascii="Calibri" w:eastAsia="Times New Roman" w:hAnsi="Calibri" w:cs="Arial"/>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01B82" w:rsidRPr="00021CC4" w:rsidRDefault="00801B82" w:rsidP="00801B82">
            <w:pPr>
              <w:spacing w:after="0" w:line="240" w:lineRule="auto"/>
              <w:rPr>
                <w:rFonts w:ascii="Calibri" w:eastAsia="Times New Roman" w:hAnsi="Calibri"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01B82" w:rsidRPr="00021CC4" w:rsidRDefault="00801B82" w:rsidP="00801B82">
            <w:pPr>
              <w:spacing w:after="0" w:line="240" w:lineRule="auto"/>
              <w:jc w:val="center"/>
              <w:rPr>
                <w:rFonts w:ascii="Calibri" w:eastAsia="Times New Roman" w:hAnsi="Calibri" w:cs="Arial"/>
              </w:rPr>
            </w:pPr>
            <w:r w:rsidRPr="00021CC4">
              <w:rPr>
                <w:rFonts w:ascii="Calibri" w:eastAsia="Times New Roman" w:hAnsi="Calibri" w:cs="Arial"/>
              </w:rPr>
              <w:t>R$</w:t>
            </w:r>
          </w:p>
        </w:tc>
      </w:tr>
      <w:tr w:rsidR="00801B82" w:rsidRPr="00021CC4" w:rsidTr="00801B82">
        <w:trPr>
          <w:trHeight w:val="300"/>
        </w:trPr>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B82" w:rsidRPr="00021CC4" w:rsidRDefault="00801B82" w:rsidP="00801B82">
            <w:pPr>
              <w:spacing w:after="0" w:line="240" w:lineRule="auto"/>
              <w:rPr>
                <w:rFonts w:ascii="Calibri" w:eastAsia="Times New Roman" w:hAnsi="Calibri" w:cs="Arial"/>
                <w:b/>
                <w:bCs/>
              </w:rPr>
            </w:pPr>
            <w:r w:rsidRPr="00021CC4">
              <w:rPr>
                <w:rFonts w:ascii="Calibri" w:eastAsia="Times New Roman" w:hAnsi="Calibri" w:cs="Arial"/>
                <w:b/>
                <w:bCs/>
              </w:rPr>
              <w:t>Brasil</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5 316 455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201 033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26 445,72</w:t>
            </w:r>
          </w:p>
        </w:tc>
      </w:tr>
      <w:tr w:rsidR="00801B82" w:rsidRPr="00021CC4" w:rsidTr="00801B82">
        <w:trPr>
          <w:trHeight w:val="300"/>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b/>
                <w:bCs/>
              </w:rPr>
            </w:pPr>
            <w:r w:rsidRPr="00021CC4">
              <w:rPr>
                <w:rFonts w:ascii="Calibri" w:eastAsia="Times New Roman" w:hAnsi="Calibri" w:cs="Arial"/>
                <w:b/>
                <w:bCs/>
              </w:rPr>
              <w:t>NORTE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292 342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16 983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17 213,30</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Rondônia</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31 092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0,6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1 728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17 990,69</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Acre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11 440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776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14 733,50</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Amazonas</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83 293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4,4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3 808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21 873,65</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Roraima</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9 027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5,9</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488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18 495,80</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Pará</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120 949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7 970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15 176,18</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Amapá</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12 762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3,2</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735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17 363,82</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Tocantins</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23 778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1 478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16 086,37</w:t>
            </w:r>
          </w:p>
        </w:tc>
      </w:tr>
      <w:tr w:rsidR="00801B82" w:rsidRPr="00021CC4" w:rsidTr="00801B82">
        <w:trPr>
          <w:trHeight w:val="300"/>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b/>
                <w:bCs/>
              </w:rPr>
            </w:pPr>
            <w:r w:rsidRPr="00021CC4">
              <w:rPr>
                <w:rFonts w:ascii="Calibri" w:eastAsia="Times New Roman" w:hAnsi="Calibri" w:cs="Arial"/>
                <w:b/>
                <w:bCs/>
              </w:rPr>
              <w:t>NORDESTE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722 809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55 795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12 954,80</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Maranhão</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67 593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4,8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6 794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9 948,47</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Piauí</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31 240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3 184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9 811,04</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Ceará</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108 796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5,0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8 779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12 393,39</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Rio G. do Norte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51 446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3 374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15 247,87</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Paraíba</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46 325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5,8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3 914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11 834,54</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Pernambuco</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140 728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2,9</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9 209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15 282,28</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Alagoas</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37 223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0,7</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3 301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11 276,59</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Sergipe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35 193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1,1</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2 196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16 028,28</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Bahia</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204 265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1,3</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15 044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13 577,74</w:t>
            </w:r>
          </w:p>
        </w:tc>
      </w:tr>
      <w:tr w:rsidR="00801B82" w:rsidRPr="00021CC4" w:rsidTr="00801B82">
        <w:trPr>
          <w:trHeight w:val="300"/>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b/>
                <w:bCs/>
              </w:rPr>
            </w:pPr>
            <w:r w:rsidRPr="00021CC4">
              <w:rPr>
                <w:rFonts w:ascii="Calibri" w:eastAsia="Times New Roman" w:hAnsi="Calibri" w:cs="Arial"/>
                <w:b/>
                <w:bCs/>
              </w:rPr>
              <w:t>SUDESTE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2 938 540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84 466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34 789,79</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Minas Gerais</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486 955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0,4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20 593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23 646,21</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Espírito Santo</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117 043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0,1</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3 839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30 484,96</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Rio de Janeiro</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626 320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1,2</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16 369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38 262,13</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São Paulo</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1 708 222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2,9</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43 664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39 122,28</w:t>
            </w:r>
          </w:p>
        </w:tc>
      </w:tr>
      <w:tr w:rsidR="00801B82" w:rsidRPr="00021CC4" w:rsidTr="00801B82">
        <w:trPr>
          <w:trHeight w:val="300"/>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b/>
                <w:bCs/>
              </w:rPr>
            </w:pPr>
            <w:r w:rsidRPr="00021CC4">
              <w:rPr>
                <w:rFonts w:ascii="Calibri" w:eastAsia="Times New Roman" w:hAnsi="Calibri" w:cs="Arial"/>
                <w:b/>
                <w:bCs/>
              </w:rPr>
              <w:t>SUL</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878 150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6,1</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28 796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30 495,79</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Paraná</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332 837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5,6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10 997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30 264,90</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Santa Catarina</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214 217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6 634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32 289,58</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Rio Grande do Sul</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331 095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8,2</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11 164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29 657,28</w:t>
            </w:r>
          </w:p>
        </w:tc>
      </w:tr>
      <w:tr w:rsidR="00801B82" w:rsidRPr="00021CC4" w:rsidTr="00801B82">
        <w:trPr>
          <w:trHeight w:val="300"/>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b/>
                <w:bCs/>
              </w:rPr>
            </w:pPr>
            <w:r w:rsidRPr="00021CC4">
              <w:rPr>
                <w:rFonts w:ascii="Calibri" w:eastAsia="Times New Roman" w:hAnsi="Calibri" w:cs="Arial"/>
                <w:b/>
                <w:bCs/>
              </w:rPr>
              <w:t>CENTRO-OESTE</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484 615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3,9</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 xml:space="preserve"> 14 993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b/>
                <w:bCs/>
              </w:rPr>
            </w:pPr>
            <w:r w:rsidRPr="00021CC4">
              <w:rPr>
                <w:rFonts w:ascii="Calibri" w:eastAsia="Times New Roman" w:hAnsi="Calibri" w:cs="Arial"/>
                <w:b/>
                <w:bCs/>
              </w:rPr>
              <w:t>32 322,31</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Mato Grosso do Sul</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69 118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6,6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2 587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26 714,57</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Mato Grosso</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89 124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3,7</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3 182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28 007,75</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Goiás</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151 010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6 434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23 470,48</w:t>
            </w:r>
          </w:p>
        </w:tc>
      </w:tr>
      <w:tr w:rsidR="00801B82" w:rsidRPr="00021CC4" w:rsidTr="00801B82">
        <w:trPr>
          <w:trHeight w:val="323"/>
        </w:trPr>
        <w:tc>
          <w:tcPr>
            <w:tcW w:w="2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rPr>
                <w:rFonts w:ascii="Calibri" w:eastAsia="Times New Roman" w:hAnsi="Calibri" w:cs="Arial"/>
              </w:rPr>
            </w:pPr>
            <w:r w:rsidRPr="00021CC4">
              <w:rPr>
                <w:rFonts w:ascii="Calibri" w:eastAsia="Times New Roman" w:hAnsi="Calibri" w:cs="Arial"/>
              </w:rPr>
              <w:t>Distrito Federal</w:t>
            </w:r>
          </w:p>
        </w:tc>
        <w:tc>
          <w:tcPr>
            <w:tcW w:w="15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175 363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3,8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 xml:space="preserve"> 2 790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82" w:rsidRPr="00021CC4" w:rsidRDefault="00801B82" w:rsidP="00801B82">
            <w:pPr>
              <w:spacing w:after="0" w:line="240" w:lineRule="auto"/>
              <w:jc w:val="right"/>
              <w:rPr>
                <w:rFonts w:ascii="Calibri" w:eastAsia="Times New Roman" w:hAnsi="Calibri" w:cs="Arial"/>
              </w:rPr>
            </w:pPr>
            <w:r w:rsidRPr="00021CC4">
              <w:rPr>
                <w:rFonts w:ascii="Calibri" w:eastAsia="Times New Roman" w:hAnsi="Calibri" w:cs="Arial"/>
              </w:rPr>
              <w:t>62 859,43</w:t>
            </w:r>
          </w:p>
        </w:tc>
      </w:tr>
      <w:tr w:rsidR="00801B82" w:rsidRPr="00B43F9D" w:rsidTr="00801B82">
        <w:trPr>
          <w:trHeight w:val="263"/>
        </w:trPr>
        <w:tc>
          <w:tcPr>
            <w:tcW w:w="8520" w:type="dxa"/>
            <w:gridSpan w:val="8"/>
            <w:tcBorders>
              <w:top w:val="nil"/>
              <w:left w:val="nil"/>
              <w:bottom w:val="nil"/>
              <w:right w:val="nil"/>
            </w:tcBorders>
            <w:shd w:val="clear" w:color="auto" w:fill="auto"/>
            <w:noWrap/>
            <w:vAlign w:val="bottom"/>
            <w:hideMark/>
          </w:tcPr>
          <w:p w:rsidR="00801B82" w:rsidRPr="00B43F9D" w:rsidRDefault="00801B82" w:rsidP="00801B82">
            <w:pPr>
              <w:spacing w:after="0" w:line="240" w:lineRule="auto"/>
              <w:rPr>
                <w:rFonts w:ascii="Calibri" w:eastAsia="Times New Roman" w:hAnsi="Calibri" w:cs="Arial"/>
                <w:sz w:val="16"/>
                <w:szCs w:val="16"/>
              </w:rPr>
            </w:pPr>
            <w:r w:rsidRPr="00B43F9D">
              <w:rPr>
                <w:rFonts w:ascii="Calibri" w:eastAsia="Times New Roman" w:hAnsi="Calibri" w:cs="Arial"/>
                <w:sz w:val="16"/>
                <w:szCs w:val="16"/>
              </w:rPr>
              <w:t xml:space="preserve">Fonte: IBGE, em parceria com os Órgãos Estaduais de Estatística, Secretarias Estaduais de Governo e </w:t>
            </w:r>
            <w:proofErr w:type="gramStart"/>
            <w:r w:rsidRPr="00B43F9D">
              <w:rPr>
                <w:rFonts w:ascii="Calibri" w:eastAsia="Times New Roman" w:hAnsi="Calibri" w:cs="Arial"/>
                <w:sz w:val="16"/>
                <w:szCs w:val="16"/>
              </w:rPr>
              <w:t>Superintendência</w:t>
            </w:r>
            <w:proofErr w:type="gramEnd"/>
            <w:r w:rsidRPr="00B43F9D">
              <w:rPr>
                <w:rFonts w:ascii="Calibri" w:eastAsia="Times New Roman" w:hAnsi="Calibri" w:cs="Arial"/>
                <w:sz w:val="16"/>
                <w:szCs w:val="16"/>
              </w:rPr>
              <w:t xml:space="preserve"> </w:t>
            </w:r>
          </w:p>
        </w:tc>
      </w:tr>
      <w:tr w:rsidR="00801B82" w:rsidRPr="00B43F9D" w:rsidTr="00801B82">
        <w:trPr>
          <w:trHeight w:val="203"/>
        </w:trPr>
        <w:tc>
          <w:tcPr>
            <w:tcW w:w="8520" w:type="dxa"/>
            <w:gridSpan w:val="8"/>
            <w:tcBorders>
              <w:top w:val="nil"/>
              <w:left w:val="nil"/>
              <w:bottom w:val="nil"/>
              <w:right w:val="nil"/>
            </w:tcBorders>
            <w:shd w:val="clear" w:color="auto" w:fill="auto"/>
            <w:noWrap/>
            <w:vAlign w:val="bottom"/>
            <w:hideMark/>
          </w:tcPr>
          <w:p w:rsidR="00801B82" w:rsidRPr="00B43F9D" w:rsidRDefault="00801B82" w:rsidP="00801B82">
            <w:pPr>
              <w:spacing w:after="0" w:line="240" w:lineRule="auto"/>
              <w:rPr>
                <w:rFonts w:ascii="Calibri" w:eastAsia="Times New Roman" w:hAnsi="Calibri" w:cs="Arial"/>
                <w:sz w:val="16"/>
                <w:szCs w:val="16"/>
              </w:rPr>
            </w:pPr>
            <w:proofErr w:type="gramStart"/>
            <w:r w:rsidRPr="00B43F9D">
              <w:rPr>
                <w:rFonts w:ascii="Calibri" w:eastAsia="Times New Roman" w:hAnsi="Calibri" w:cs="Arial"/>
                <w:sz w:val="16"/>
                <w:szCs w:val="16"/>
              </w:rPr>
              <w:t>da</w:t>
            </w:r>
            <w:proofErr w:type="gramEnd"/>
            <w:r w:rsidRPr="00B43F9D">
              <w:rPr>
                <w:rFonts w:ascii="Calibri" w:eastAsia="Times New Roman" w:hAnsi="Calibri" w:cs="Arial"/>
                <w:sz w:val="16"/>
                <w:szCs w:val="16"/>
              </w:rPr>
              <w:t xml:space="preserve"> Zona Franca de Manaus - SUFRAMA; e Coordenação de População e Indicadores Sociais.    </w:t>
            </w:r>
          </w:p>
        </w:tc>
      </w:tr>
      <w:tr w:rsidR="00801B82" w:rsidRPr="00B43F9D" w:rsidTr="00801B82">
        <w:trPr>
          <w:trHeight w:val="240"/>
        </w:trPr>
        <w:tc>
          <w:tcPr>
            <w:tcW w:w="8520" w:type="dxa"/>
            <w:gridSpan w:val="8"/>
            <w:tcBorders>
              <w:top w:val="nil"/>
              <w:left w:val="nil"/>
              <w:bottom w:val="nil"/>
              <w:right w:val="nil"/>
            </w:tcBorders>
            <w:shd w:val="clear" w:color="auto" w:fill="auto"/>
            <w:noWrap/>
            <w:vAlign w:val="bottom"/>
            <w:hideMark/>
          </w:tcPr>
          <w:p w:rsidR="00801B82" w:rsidRPr="00B43F9D" w:rsidRDefault="00801B82" w:rsidP="00801B82">
            <w:pPr>
              <w:spacing w:after="0" w:line="240" w:lineRule="auto"/>
              <w:rPr>
                <w:rFonts w:ascii="Calibri" w:eastAsia="Times New Roman" w:hAnsi="Calibri" w:cs="Arial"/>
                <w:sz w:val="16"/>
                <w:szCs w:val="16"/>
              </w:rPr>
            </w:pPr>
            <w:r w:rsidRPr="00B43F9D">
              <w:rPr>
                <w:rFonts w:ascii="Calibri" w:eastAsia="Times New Roman" w:hAnsi="Calibri" w:cs="Arial"/>
                <w:sz w:val="16"/>
                <w:szCs w:val="16"/>
              </w:rPr>
              <w:t xml:space="preserve">(1) População estimada para 1º de julho de 2008 segundo os municípios, enviada ao Tribunal de Contas da União </w:t>
            </w:r>
            <w:r>
              <w:rPr>
                <w:rFonts w:ascii="Calibri" w:eastAsia="Times New Roman" w:hAnsi="Calibri" w:cs="Arial"/>
                <w:sz w:val="16"/>
                <w:szCs w:val="16"/>
              </w:rPr>
              <w:t>–</w:t>
            </w:r>
            <w:r w:rsidRPr="00B43F9D">
              <w:rPr>
                <w:rFonts w:ascii="Calibri" w:eastAsia="Times New Roman" w:hAnsi="Calibri" w:cs="Arial"/>
                <w:sz w:val="16"/>
                <w:szCs w:val="16"/>
              </w:rPr>
              <w:t xml:space="preserve"> TCU</w:t>
            </w:r>
            <w:r>
              <w:rPr>
                <w:rFonts w:ascii="Calibri" w:eastAsia="Times New Roman" w:hAnsi="Calibri" w:cs="Arial"/>
                <w:sz w:val="16"/>
                <w:szCs w:val="16"/>
              </w:rPr>
              <w:t xml:space="preserve"> em </w:t>
            </w:r>
            <w:proofErr w:type="gramStart"/>
            <w:r>
              <w:rPr>
                <w:rFonts w:ascii="Calibri" w:eastAsia="Times New Roman" w:hAnsi="Calibri" w:cs="Arial"/>
                <w:sz w:val="16"/>
                <w:szCs w:val="16"/>
              </w:rPr>
              <w:t>31.10.2013</w:t>
            </w:r>
            <w:proofErr w:type="gramEnd"/>
          </w:p>
        </w:tc>
      </w:tr>
      <w:tr w:rsidR="00801B82" w:rsidRPr="00F3692A" w:rsidTr="00801B82">
        <w:trPr>
          <w:trHeight w:val="188"/>
        </w:trPr>
        <w:tc>
          <w:tcPr>
            <w:tcW w:w="2121" w:type="dxa"/>
            <w:tcBorders>
              <w:top w:val="nil"/>
              <w:left w:val="nil"/>
              <w:bottom w:val="nil"/>
              <w:right w:val="nil"/>
            </w:tcBorders>
            <w:shd w:val="clear" w:color="auto" w:fill="auto"/>
            <w:noWrap/>
            <w:vAlign w:val="bottom"/>
          </w:tcPr>
          <w:p w:rsidR="00801B82" w:rsidRPr="00B43F9D" w:rsidRDefault="00801B82" w:rsidP="00801B82">
            <w:pPr>
              <w:spacing w:after="0" w:line="240" w:lineRule="auto"/>
              <w:rPr>
                <w:rFonts w:ascii="Calibri" w:eastAsia="Times New Roman" w:hAnsi="Calibri" w:cs="Arial"/>
                <w:sz w:val="16"/>
                <w:szCs w:val="16"/>
              </w:rPr>
            </w:pPr>
          </w:p>
        </w:tc>
        <w:tc>
          <w:tcPr>
            <w:tcW w:w="1155" w:type="dxa"/>
            <w:tcBorders>
              <w:top w:val="nil"/>
              <w:left w:val="nil"/>
              <w:bottom w:val="nil"/>
              <w:right w:val="nil"/>
            </w:tcBorders>
            <w:shd w:val="clear" w:color="auto" w:fill="auto"/>
            <w:noWrap/>
            <w:vAlign w:val="bottom"/>
          </w:tcPr>
          <w:p w:rsidR="00801B82" w:rsidRPr="00B43F9D" w:rsidRDefault="00801B82" w:rsidP="00801B82">
            <w:pPr>
              <w:spacing w:after="0" w:line="240" w:lineRule="auto"/>
              <w:rPr>
                <w:rFonts w:ascii="Calibri" w:eastAsia="Times New Roman" w:hAnsi="Calibri" w:cs="Arial"/>
                <w:sz w:val="16"/>
                <w:szCs w:val="16"/>
              </w:rPr>
            </w:pPr>
          </w:p>
        </w:tc>
        <w:tc>
          <w:tcPr>
            <w:tcW w:w="991" w:type="dxa"/>
            <w:gridSpan w:val="2"/>
            <w:tcBorders>
              <w:top w:val="nil"/>
              <w:left w:val="nil"/>
              <w:bottom w:val="nil"/>
              <w:right w:val="nil"/>
            </w:tcBorders>
            <w:shd w:val="clear" w:color="auto" w:fill="auto"/>
            <w:noWrap/>
            <w:vAlign w:val="bottom"/>
          </w:tcPr>
          <w:p w:rsidR="00801B82" w:rsidRPr="00B43F9D" w:rsidRDefault="00801B82" w:rsidP="00801B82">
            <w:pPr>
              <w:spacing w:after="0" w:line="240" w:lineRule="auto"/>
              <w:rPr>
                <w:rFonts w:ascii="Calibri" w:eastAsia="Times New Roman" w:hAnsi="Calibri" w:cs="Arial"/>
                <w:sz w:val="16"/>
                <w:szCs w:val="16"/>
              </w:rPr>
            </w:pPr>
          </w:p>
        </w:tc>
        <w:tc>
          <w:tcPr>
            <w:tcW w:w="1418" w:type="dxa"/>
            <w:gridSpan w:val="2"/>
            <w:tcBorders>
              <w:top w:val="nil"/>
              <w:left w:val="nil"/>
              <w:bottom w:val="nil"/>
              <w:right w:val="nil"/>
            </w:tcBorders>
            <w:shd w:val="clear" w:color="auto" w:fill="auto"/>
            <w:noWrap/>
            <w:vAlign w:val="bottom"/>
          </w:tcPr>
          <w:p w:rsidR="00801B82" w:rsidRPr="00B43F9D" w:rsidRDefault="00801B82" w:rsidP="00801B82">
            <w:pPr>
              <w:spacing w:after="0" w:line="240" w:lineRule="auto"/>
              <w:rPr>
                <w:rFonts w:ascii="Calibri" w:eastAsia="Times New Roman" w:hAnsi="Calibri" w:cs="Arial"/>
                <w:sz w:val="16"/>
                <w:szCs w:val="16"/>
              </w:rPr>
            </w:pPr>
          </w:p>
        </w:tc>
        <w:tc>
          <w:tcPr>
            <w:tcW w:w="2835" w:type="dxa"/>
            <w:gridSpan w:val="2"/>
            <w:tcBorders>
              <w:top w:val="nil"/>
              <w:left w:val="nil"/>
              <w:bottom w:val="nil"/>
              <w:right w:val="nil"/>
            </w:tcBorders>
            <w:shd w:val="clear" w:color="auto" w:fill="auto"/>
            <w:noWrap/>
            <w:vAlign w:val="bottom"/>
          </w:tcPr>
          <w:p w:rsidR="00801B82" w:rsidRPr="00B43F9D" w:rsidRDefault="00801B82" w:rsidP="00801B82">
            <w:pPr>
              <w:spacing w:after="0" w:line="240" w:lineRule="auto"/>
              <w:rPr>
                <w:rFonts w:ascii="Calibri" w:eastAsia="Times New Roman" w:hAnsi="Calibri" w:cs="Arial"/>
                <w:sz w:val="16"/>
                <w:szCs w:val="16"/>
              </w:rPr>
            </w:pPr>
          </w:p>
        </w:tc>
      </w:tr>
    </w:tbl>
    <w:p w:rsidR="00F3692A" w:rsidRDefault="00F3692A" w:rsidP="00E60D76">
      <w:pPr>
        <w:spacing w:line="240" w:lineRule="auto"/>
        <w:jc w:val="both"/>
        <w:rPr>
          <w:sz w:val="18"/>
          <w:szCs w:val="18"/>
        </w:rPr>
      </w:pPr>
    </w:p>
    <w:p w:rsidR="00F3692A" w:rsidRDefault="00F3692A" w:rsidP="00E60D76">
      <w:pPr>
        <w:spacing w:line="240" w:lineRule="auto"/>
        <w:jc w:val="both"/>
        <w:rPr>
          <w:sz w:val="18"/>
          <w:szCs w:val="18"/>
        </w:rPr>
      </w:pPr>
    </w:p>
    <w:p w:rsidR="00475BA4" w:rsidRDefault="00475BA4" w:rsidP="00BF19DB">
      <w:pPr>
        <w:autoSpaceDE w:val="0"/>
        <w:autoSpaceDN w:val="0"/>
        <w:adjustRightInd w:val="0"/>
        <w:spacing w:after="0" w:line="240" w:lineRule="auto"/>
        <w:rPr>
          <w:rFonts w:ascii="Arial" w:hAnsi="Arial" w:cs="Arial"/>
          <w:b/>
          <w:bCs/>
          <w:color w:val="000000"/>
          <w:sz w:val="23"/>
          <w:szCs w:val="23"/>
        </w:rPr>
      </w:pPr>
      <w:r w:rsidRPr="00475BA4">
        <w:rPr>
          <w:rFonts w:ascii="Arial" w:hAnsi="Arial" w:cs="Arial"/>
          <w:b/>
          <w:bCs/>
          <w:color w:val="000000"/>
          <w:sz w:val="23"/>
          <w:szCs w:val="23"/>
        </w:rPr>
        <w:t>FUNDAÇÃO CENTRO DE PESQUISAS ECONÔMICAS E SOCIAIS DO PIAUÍ (CEPRO)</w:t>
      </w:r>
    </w:p>
    <w:p w:rsidR="00BF19DB" w:rsidRPr="00475BA4" w:rsidRDefault="00BF19DB" w:rsidP="00BF19DB">
      <w:pPr>
        <w:autoSpaceDE w:val="0"/>
        <w:autoSpaceDN w:val="0"/>
        <w:adjustRightInd w:val="0"/>
        <w:spacing w:after="0" w:line="240" w:lineRule="auto"/>
        <w:rPr>
          <w:rFonts w:ascii="Arial" w:hAnsi="Arial" w:cs="Arial"/>
          <w:color w:val="000000"/>
          <w:sz w:val="23"/>
          <w:szCs w:val="23"/>
        </w:rPr>
      </w:pPr>
    </w:p>
    <w:p w:rsidR="00475BA4" w:rsidRP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b/>
          <w:bCs/>
          <w:color w:val="000000"/>
          <w:sz w:val="23"/>
          <w:szCs w:val="23"/>
        </w:rPr>
        <w:t xml:space="preserve">Governador do Estado do Piauí </w:t>
      </w:r>
    </w:p>
    <w:p w:rsidR="00475BA4" w:rsidRPr="00475BA4" w:rsidRDefault="00F53E69" w:rsidP="00475B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José Wellington Barroso de Araújo Dias</w:t>
      </w:r>
    </w:p>
    <w:p w:rsidR="00475BA4" w:rsidRDefault="00475BA4" w:rsidP="00475BA4">
      <w:pPr>
        <w:autoSpaceDE w:val="0"/>
        <w:autoSpaceDN w:val="0"/>
        <w:adjustRightInd w:val="0"/>
        <w:spacing w:after="0" w:line="240" w:lineRule="auto"/>
        <w:rPr>
          <w:rFonts w:ascii="Arial" w:hAnsi="Arial" w:cs="Arial"/>
          <w:b/>
          <w:bCs/>
          <w:color w:val="000000"/>
          <w:sz w:val="23"/>
          <w:szCs w:val="23"/>
        </w:rPr>
      </w:pPr>
    </w:p>
    <w:p w:rsidR="00475BA4" w:rsidRP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b/>
          <w:bCs/>
          <w:color w:val="000000"/>
          <w:sz w:val="23"/>
          <w:szCs w:val="23"/>
        </w:rPr>
        <w:t xml:space="preserve">Vice- Governador </w:t>
      </w:r>
    </w:p>
    <w:p w:rsidR="00475BA4" w:rsidRPr="00475BA4" w:rsidRDefault="00F53E69" w:rsidP="00475B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Margarete de Castro Coelho</w:t>
      </w:r>
    </w:p>
    <w:p w:rsidR="00475BA4" w:rsidRDefault="00475BA4" w:rsidP="00475BA4">
      <w:pPr>
        <w:autoSpaceDE w:val="0"/>
        <w:autoSpaceDN w:val="0"/>
        <w:adjustRightInd w:val="0"/>
        <w:spacing w:after="0" w:line="240" w:lineRule="auto"/>
        <w:rPr>
          <w:rFonts w:ascii="Arial" w:hAnsi="Arial" w:cs="Arial"/>
          <w:b/>
          <w:bCs/>
          <w:color w:val="000000"/>
          <w:sz w:val="23"/>
          <w:szCs w:val="23"/>
        </w:rPr>
      </w:pPr>
    </w:p>
    <w:p w:rsidR="00475BA4" w:rsidRP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b/>
          <w:bCs/>
          <w:color w:val="000000"/>
          <w:sz w:val="23"/>
          <w:szCs w:val="23"/>
        </w:rPr>
        <w:t xml:space="preserve">Secretário de Planejamento </w:t>
      </w:r>
    </w:p>
    <w:p w:rsidR="00475BA4" w:rsidRP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color w:val="000000"/>
          <w:sz w:val="23"/>
          <w:szCs w:val="23"/>
        </w:rPr>
        <w:t xml:space="preserve">Antônio </w:t>
      </w:r>
      <w:r w:rsidR="00F53E69">
        <w:rPr>
          <w:rFonts w:ascii="Arial" w:hAnsi="Arial" w:cs="Arial"/>
          <w:color w:val="000000"/>
          <w:sz w:val="23"/>
          <w:szCs w:val="23"/>
        </w:rPr>
        <w:t>Rodrigues de Sousa Neto</w:t>
      </w:r>
      <w:r w:rsidRPr="00475BA4">
        <w:rPr>
          <w:rFonts w:ascii="Arial" w:hAnsi="Arial" w:cs="Arial"/>
          <w:color w:val="000000"/>
          <w:sz w:val="23"/>
          <w:szCs w:val="23"/>
        </w:rPr>
        <w:t xml:space="preserve"> </w:t>
      </w:r>
    </w:p>
    <w:p w:rsidR="00475BA4" w:rsidRDefault="00475BA4" w:rsidP="00475BA4">
      <w:pPr>
        <w:autoSpaceDE w:val="0"/>
        <w:autoSpaceDN w:val="0"/>
        <w:adjustRightInd w:val="0"/>
        <w:spacing w:after="0" w:line="240" w:lineRule="auto"/>
        <w:rPr>
          <w:rFonts w:ascii="Arial" w:hAnsi="Arial" w:cs="Arial"/>
          <w:b/>
          <w:bCs/>
          <w:color w:val="000000"/>
          <w:sz w:val="23"/>
          <w:szCs w:val="23"/>
        </w:rPr>
      </w:pPr>
    </w:p>
    <w:p w:rsidR="00475BA4" w:rsidRP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b/>
          <w:bCs/>
          <w:color w:val="000000"/>
          <w:sz w:val="23"/>
          <w:szCs w:val="23"/>
        </w:rPr>
        <w:t xml:space="preserve">Presidente da Fundação CEPRO </w:t>
      </w:r>
    </w:p>
    <w:p w:rsidR="00475BA4" w:rsidRPr="00475BA4" w:rsidRDefault="00F53E69" w:rsidP="00475B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Antônio </w:t>
      </w:r>
      <w:r w:rsidR="007275D3">
        <w:rPr>
          <w:rFonts w:ascii="Arial" w:hAnsi="Arial" w:cs="Arial"/>
          <w:color w:val="000000"/>
          <w:sz w:val="23"/>
          <w:szCs w:val="23"/>
        </w:rPr>
        <w:t>Cez</w:t>
      </w:r>
      <w:r>
        <w:rPr>
          <w:rFonts w:ascii="Arial" w:hAnsi="Arial" w:cs="Arial"/>
          <w:color w:val="000000"/>
          <w:sz w:val="23"/>
          <w:szCs w:val="23"/>
        </w:rPr>
        <w:t>ar Cruz Fortes</w:t>
      </w:r>
    </w:p>
    <w:p w:rsidR="00475BA4" w:rsidRDefault="00475BA4" w:rsidP="00475BA4">
      <w:pPr>
        <w:autoSpaceDE w:val="0"/>
        <w:autoSpaceDN w:val="0"/>
        <w:adjustRightInd w:val="0"/>
        <w:spacing w:after="0" w:line="240" w:lineRule="auto"/>
        <w:rPr>
          <w:rFonts w:ascii="Arial" w:hAnsi="Arial" w:cs="Arial"/>
          <w:b/>
          <w:bCs/>
          <w:color w:val="000000"/>
          <w:sz w:val="23"/>
          <w:szCs w:val="23"/>
        </w:rPr>
      </w:pPr>
    </w:p>
    <w:p w:rsidR="005E4043" w:rsidRDefault="00475BA4" w:rsidP="00475BA4">
      <w:pPr>
        <w:autoSpaceDE w:val="0"/>
        <w:autoSpaceDN w:val="0"/>
        <w:adjustRightInd w:val="0"/>
        <w:spacing w:after="0" w:line="240" w:lineRule="auto"/>
        <w:rPr>
          <w:rFonts w:ascii="Arial" w:hAnsi="Arial" w:cs="Arial"/>
          <w:b/>
          <w:bCs/>
          <w:color w:val="000000"/>
          <w:sz w:val="23"/>
          <w:szCs w:val="23"/>
        </w:rPr>
      </w:pPr>
      <w:r w:rsidRPr="00475BA4">
        <w:rPr>
          <w:rFonts w:ascii="Arial" w:hAnsi="Arial" w:cs="Arial"/>
          <w:b/>
          <w:bCs/>
          <w:color w:val="000000"/>
          <w:sz w:val="23"/>
          <w:szCs w:val="23"/>
        </w:rPr>
        <w:t>Elaboração</w:t>
      </w:r>
    </w:p>
    <w:p w:rsidR="00475BA4" w:rsidRDefault="005E4043" w:rsidP="00475BA4">
      <w:pPr>
        <w:autoSpaceDE w:val="0"/>
        <w:autoSpaceDN w:val="0"/>
        <w:adjustRightInd w:val="0"/>
        <w:spacing w:after="0" w:line="240" w:lineRule="auto"/>
        <w:rPr>
          <w:rFonts w:ascii="Arial" w:hAnsi="Arial" w:cs="Arial"/>
          <w:bCs/>
          <w:color w:val="000000"/>
          <w:sz w:val="23"/>
          <w:szCs w:val="23"/>
        </w:rPr>
      </w:pPr>
      <w:r w:rsidRPr="005E4043">
        <w:rPr>
          <w:rFonts w:ascii="Arial" w:hAnsi="Arial" w:cs="Arial"/>
          <w:bCs/>
          <w:color w:val="000000"/>
          <w:sz w:val="23"/>
          <w:szCs w:val="23"/>
        </w:rPr>
        <w:t xml:space="preserve">Maria </w:t>
      </w:r>
      <w:r>
        <w:rPr>
          <w:rFonts w:ascii="Arial" w:hAnsi="Arial" w:cs="Arial"/>
          <w:bCs/>
          <w:color w:val="000000"/>
          <w:sz w:val="23"/>
          <w:szCs w:val="23"/>
        </w:rPr>
        <w:t xml:space="preserve">Egídia </w:t>
      </w:r>
      <w:r w:rsidR="008C491B">
        <w:rPr>
          <w:rFonts w:ascii="Arial" w:hAnsi="Arial" w:cs="Arial"/>
          <w:bCs/>
          <w:color w:val="000000"/>
          <w:sz w:val="23"/>
          <w:szCs w:val="23"/>
        </w:rPr>
        <w:t>Soares Andrade</w:t>
      </w:r>
    </w:p>
    <w:p w:rsidR="008C491B" w:rsidRPr="00475BA4" w:rsidRDefault="008C491B" w:rsidP="00475B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Evaristo Alves dos Reis Júnior </w:t>
      </w:r>
    </w:p>
    <w:p w:rsid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color w:val="000000"/>
          <w:sz w:val="23"/>
          <w:szCs w:val="23"/>
        </w:rPr>
        <w:t xml:space="preserve">Joana D’arc Fortes Portela Barbosa </w:t>
      </w:r>
    </w:p>
    <w:p w:rsidR="00475BA4" w:rsidRPr="00475BA4" w:rsidRDefault="00475BA4" w:rsidP="00475BA4">
      <w:pPr>
        <w:autoSpaceDE w:val="0"/>
        <w:autoSpaceDN w:val="0"/>
        <w:adjustRightInd w:val="0"/>
        <w:spacing w:after="0" w:line="240" w:lineRule="auto"/>
        <w:rPr>
          <w:rFonts w:ascii="Arial" w:hAnsi="Arial" w:cs="Arial"/>
          <w:color w:val="000000"/>
          <w:sz w:val="23"/>
          <w:szCs w:val="23"/>
        </w:rPr>
      </w:pPr>
      <w:r w:rsidRPr="00475BA4">
        <w:rPr>
          <w:rFonts w:ascii="Arial" w:hAnsi="Arial" w:cs="Arial"/>
          <w:color w:val="000000"/>
          <w:sz w:val="23"/>
          <w:szCs w:val="23"/>
        </w:rPr>
        <w:t xml:space="preserve">Maria de Fátima Facchinetti de Almendra Freitas </w:t>
      </w:r>
    </w:p>
    <w:p w:rsidR="00475BA4" w:rsidRPr="008C491B" w:rsidRDefault="00475BA4" w:rsidP="00475BA4">
      <w:pPr>
        <w:autoSpaceDE w:val="0"/>
        <w:autoSpaceDN w:val="0"/>
        <w:adjustRightInd w:val="0"/>
        <w:spacing w:after="0" w:line="240" w:lineRule="auto"/>
        <w:rPr>
          <w:rFonts w:ascii="Arial" w:hAnsi="Arial" w:cs="Arial"/>
          <w:b/>
          <w:bCs/>
          <w:color w:val="000000"/>
          <w:sz w:val="23"/>
          <w:szCs w:val="23"/>
        </w:rPr>
      </w:pPr>
    </w:p>
    <w:p w:rsidR="00475BA4" w:rsidRPr="007275D3" w:rsidRDefault="00475BA4" w:rsidP="00475BA4">
      <w:pPr>
        <w:autoSpaceDE w:val="0"/>
        <w:autoSpaceDN w:val="0"/>
        <w:adjustRightInd w:val="0"/>
        <w:spacing w:after="0" w:line="240" w:lineRule="auto"/>
        <w:rPr>
          <w:rFonts w:ascii="Arial" w:hAnsi="Arial" w:cs="Arial"/>
          <w:b/>
          <w:bCs/>
          <w:color w:val="000000"/>
          <w:sz w:val="23"/>
          <w:szCs w:val="23"/>
          <w:lang w:val="en-US"/>
        </w:rPr>
      </w:pPr>
      <w:r w:rsidRPr="007275D3">
        <w:rPr>
          <w:rFonts w:ascii="Arial" w:hAnsi="Arial" w:cs="Arial"/>
          <w:b/>
          <w:bCs/>
          <w:color w:val="000000"/>
          <w:sz w:val="23"/>
          <w:szCs w:val="23"/>
          <w:lang w:val="en-US"/>
        </w:rPr>
        <w:t xml:space="preserve">Email: </w:t>
      </w:r>
    </w:p>
    <w:p w:rsidR="009F09DE" w:rsidRPr="007275D3" w:rsidRDefault="009F09DE" w:rsidP="00475BA4">
      <w:pPr>
        <w:autoSpaceDE w:val="0"/>
        <w:autoSpaceDN w:val="0"/>
        <w:adjustRightInd w:val="0"/>
        <w:spacing w:after="0" w:line="240" w:lineRule="auto"/>
        <w:rPr>
          <w:rFonts w:ascii="Arial" w:hAnsi="Arial" w:cs="Arial"/>
          <w:color w:val="000000"/>
          <w:sz w:val="23"/>
          <w:szCs w:val="23"/>
          <w:lang w:val="en-US"/>
        </w:rPr>
      </w:pPr>
      <w:r w:rsidRPr="007275D3">
        <w:rPr>
          <w:rFonts w:ascii="Arial" w:hAnsi="Arial" w:cs="Arial"/>
          <w:bCs/>
          <w:color w:val="000000"/>
          <w:sz w:val="23"/>
          <w:szCs w:val="23"/>
          <w:lang w:val="en-US"/>
        </w:rPr>
        <w:t>Maria.egidia@cepro.pi.gov.br</w:t>
      </w:r>
    </w:p>
    <w:p w:rsidR="00475BA4" w:rsidRPr="00475BA4" w:rsidRDefault="00475BA4" w:rsidP="00475BA4">
      <w:pPr>
        <w:autoSpaceDE w:val="0"/>
        <w:autoSpaceDN w:val="0"/>
        <w:adjustRightInd w:val="0"/>
        <w:spacing w:after="0" w:line="240" w:lineRule="auto"/>
        <w:rPr>
          <w:rFonts w:ascii="Arial" w:hAnsi="Arial" w:cs="Arial"/>
          <w:color w:val="000000"/>
          <w:sz w:val="23"/>
          <w:szCs w:val="23"/>
          <w:lang w:val="en-US"/>
        </w:rPr>
      </w:pPr>
      <w:r w:rsidRPr="00475BA4">
        <w:rPr>
          <w:rFonts w:ascii="Arial" w:hAnsi="Arial" w:cs="Arial"/>
          <w:color w:val="000000"/>
          <w:sz w:val="23"/>
          <w:szCs w:val="23"/>
          <w:lang w:val="en-US"/>
        </w:rPr>
        <w:t xml:space="preserve">joanaportela@cepro.pi.gov.br </w:t>
      </w:r>
    </w:p>
    <w:p w:rsidR="00475BA4" w:rsidRPr="00475BA4" w:rsidRDefault="00475BA4" w:rsidP="00475BA4">
      <w:pPr>
        <w:autoSpaceDE w:val="0"/>
        <w:autoSpaceDN w:val="0"/>
        <w:adjustRightInd w:val="0"/>
        <w:spacing w:after="0" w:line="240" w:lineRule="auto"/>
        <w:rPr>
          <w:rFonts w:ascii="Arial" w:hAnsi="Arial" w:cs="Arial"/>
          <w:color w:val="000000"/>
          <w:sz w:val="23"/>
          <w:szCs w:val="23"/>
          <w:lang w:val="en-US"/>
        </w:rPr>
      </w:pPr>
      <w:r w:rsidRPr="00475BA4">
        <w:rPr>
          <w:rFonts w:ascii="Arial" w:hAnsi="Arial" w:cs="Arial"/>
          <w:color w:val="000000"/>
          <w:sz w:val="23"/>
          <w:szCs w:val="23"/>
          <w:lang w:val="en-US"/>
        </w:rPr>
        <w:t xml:space="preserve">fatimafacchinetti@cepro.pi.gov.br </w:t>
      </w:r>
    </w:p>
    <w:p w:rsidR="00B43F9D" w:rsidRPr="00070ECC" w:rsidRDefault="00186A21" w:rsidP="00475BA4">
      <w:pPr>
        <w:spacing w:line="240" w:lineRule="auto"/>
        <w:jc w:val="both"/>
        <w:rPr>
          <w:rFonts w:ascii="Arial" w:hAnsi="Arial" w:cs="Arial"/>
          <w:sz w:val="23"/>
          <w:szCs w:val="23"/>
          <w:lang w:val="en-US"/>
        </w:rPr>
      </w:pPr>
      <w:hyperlink r:id="rId14" w:history="1">
        <w:r w:rsidR="00475BA4" w:rsidRPr="00070ECC">
          <w:rPr>
            <w:rStyle w:val="Hyperlink"/>
            <w:rFonts w:ascii="Arial" w:hAnsi="Arial" w:cs="Arial"/>
            <w:color w:val="auto"/>
            <w:sz w:val="23"/>
            <w:szCs w:val="23"/>
            <w:u w:val="none"/>
            <w:lang w:val="en-US"/>
          </w:rPr>
          <w:t>evaristoreis@cepro.pi.gov.br</w:t>
        </w:r>
      </w:hyperlink>
    </w:p>
    <w:p w:rsidR="00475BA4" w:rsidRPr="00475BA4" w:rsidRDefault="00475BA4" w:rsidP="00475BA4">
      <w:pPr>
        <w:spacing w:line="240" w:lineRule="auto"/>
        <w:jc w:val="both"/>
        <w:rPr>
          <w:rFonts w:ascii="Calibri" w:hAnsi="Calibri"/>
          <w:sz w:val="24"/>
          <w:szCs w:val="24"/>
          <w:lang w:val="en-US"/>
        </w:rPr>
      </w:pPr>
    </w:p>
    <w:sectPr w:rsidR="00475BA4" w:rsidRPr="00475BA4" w:rsidSect="00A04BEF">
      <w:headerReference w:type="default" r:id="rId15"/>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94" w:rsidRDefault="00E42994" w:rsidP="00FA272C">
      <w:pPr>
        <w:spacing w:after="0" w:line="240" w:lineRule="auto"/>
      </w:pPr>
      <w:r>
        <w:separator/>
      </w:r>
    </w:p>
  </w:endnote>
  <w:endnote w:type="continuationSeparator" w:id="0">
    <w:p w:rsidR="00E42994" w:rsidRDefault="00E42994" w:rsidP="00FA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94" w:rsidRDefault="00E42994" w:rsidP="00FA272C">
      <w:pPr>
        <w:spacing w:after="0" w:line="240" w:lineRule="auto"/>
      </w:pPr>
      <w:r>
        <w:separator/>
      </w:r>
    </w:p>
  </w:footnote>
  <w:footnote w:type="continuationSeparator" w:id="0">
    <w:p w:rsidR="00E42994" w:rsidRDefault="00E42994" w:rsidP="00FA2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4" w:rsidRDefault="00851B54">
    <w:pPr>
      <w:pStyle w:val="Cabealho"/>
      <w:jc w:val="right"/>
    </w:pPr>
  </w:p>
  <w:p w:rsidR="00851B54" w:rsidRDefault="00851B5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81742"/>
      <w:docPartObj>
        <w:docPartGallery w:val="Page Numbers (Top of Page)"/>
        <w:docPartUnique/>
      </w:docPartObj>
    </w:sdtPr>
    <w:sdtEndPr/>
    <w:sdtContent>
      <w:p w:rsidR="00293971" w:rsidRDefault="00293971">
        <w:pPr>
          <w:pStyle w:val="Cabealho"/>
          <w:jc w:val="right"/>
        </w:pPr>
        <w:r>
          <w:fldChar w:fldCharType="begin"/>
        </w:r>
        <w:r>
          <w:instrText>PAGE   \* MERGEFORMAT</w:instrText>
        </w:r>
        <w:r>
          <w:fldChar w:fldCharType="separate"/>
        </w:r>
        <w:r w:rsidR="00186A21">
          <w:rPr>
            <w:noProof/>
          </w:rPr>
          <w:t>17</w:t>
        </w:r>
        <w:r>
          <w:fldChar w:fldCharType="end"/>
        </w:r>
      </w:p>
    </w:sdtContent>
  </w:sdt>
  <w:p w:rsidR="00293971" w:rsidRDefault="002939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507"/>
    <w:multiLevelType w:val="hybridMultilevel"/>
    <w:tmpl w:val="97DAE9D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1058446C"/>
    <w:multiLevelType w:val="hybridMultilevel"/>
    <w:tmpl w:val="9460A4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54A70AE"/>
    <w:multiLevelType w:val="hybridMultilevel"/>
    <w:tmpl w:val="C5B09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14129F"/>
    <w:multiLevelType w:val="hybridMultilevel"/>
    <w:tmpl w:val="A47EEC02"/>
    <w:lvl w:ilvl="0" w:tplc="B54E0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3"/>
    <w:rsid w:val="000018D9"/>
    <w:rsid w:val="00002214"/>
    <w:rsid w:val="00021CC4"/>
    <w:rsid w:val="00027D5A"/>
    <w:rsid w:val="00032619"/>
    <w:rsid w:val="000403BC"/>
    <w:rsid w:val="00040B3F"/>
    <w:rsid w:val="00047B0F"/>
    <w:rsid w:val="000523CB"/>
    <w:rsid w:val="00052D15"/>
    <w:rsid w:val="00054E0E"/>
    <w:rsid w:val="00062937"/>
    <w:rsid w:val="000652FC"/>
    <w:rsid w:val="00070ECC"/>
    <w:rsid w:val="00072D3B"/>
    <w:rsid w:val="00074EB9"/>
    <w:rsid w:val="000756F1"/>
    <w:rsid w:val="00080777"/>
    <w:rsid w:val="000870B4"/>
    <w:rsid w:val="00090019"/>
    <w:rsid w:val="000A26EC"/>
    <w:rsid w:val="000A6A09"/>
    <w:rsid w:val="000B43F1"/>
    <w:rsid w:val="000B68FF"/>
    <w:rsid w:val="000C1666"/>
    <w:rsid w:val="000C4746"/>
    <w:rsid w:val="000D0D93"/>
    <w:rsid w:val="000D124A"/>
    <w:rsid w:val="000D2D49"/>
    <w:rsid w:val="000E5711"/>
    <w:rsid w:val="000E6616"/>
    <w:rsid w:val="000F167F"/>
    <w:rsid w:val="00102089"/>
    <w:rsid w:val="00105B15"/>
    <w:rsid w:val="00121884"/>
    <w:rsid w:val="001278B3"/>
    <w:rsid w:val="00127B39"/>
    <w:rsid w:val="00153161"/>
    <w:rsid w:val="00155302"/>
    <w:rsid w:val="00157031"/>
    <w:rsid w:val="001606C8"/>
    <w:rsid w:val="001621C5"/>
    <w:rsid w:val="001725A3"/>
    <w:rsid w:val="00176D6D"/>
    <w:rsid w:val="00177319"/>
    <w:rsid w:val="00177629"/>
    <w:rsid w:val="00184A13"/>
    <w:rsid w:val="00186569"/>
    <w:rsid w:val="00186A21"/>
    <w:rsid w:val="001927B6"/>
    <w:rsid w:val="00193B9F"/>
    <w:rsid w:val="00194656"/>
    <w:rsid w:val="00197168"/>
    <w:rsid w:val="0019790E"/>
    <w:rsid w:val="001A2FBB"/>
    <w:rsid w:val="001B0879"/>
    <w:rsid w:val="001B34FB"/>
    <w:rsid w:val="001C0898"/>
    <w:rsid w:val="001C4DFB"/>
    <w:rsid w:val="001D3F23"/>
    <w:rsid w:val="001D40FC"/>
    <w:rsid w:val="001D66F5"/>
    <w:rsid w:val="001F1E08"/>
    <w:rsid w:val="0020221B"/>
    <w:rsid w:val="00211B56"/>
    <w:rsid w:val="00220949"/>
    <w:rsid w:val="00221719"/>
    <w:rsid w:val="00244675"/>
    <w:rsid w:val="00250B43"/>
    <w:rsid w:val="002546B5"/>
    <w:rsid w:val="002612FE"/>
    <w:rsid w:val="0027106A"/>
    <w:rsid w:val="002714ED"/>
    <w:rsid w:val="00284381"/>
    <w:rsid w:val="002843A1"/>
    <w:rsid w:val="0028661D"/>
    <w:rsid w:val="00290A2A"/>
    <w:rsid w:val="00290D0E"/>
    <w:rsid w:val="00293971"/>
    <w:rsid w:val="002967C4"/>
    <w:rsid w:val="002978F3"/>
    <w:rsid w:val="002A3C16"/>
    <w:rsid w:val="002B1AB7"/>
    <w:rsid w:val="002C2573"/>
    <w:rsid w:val="002C3124"/>
    <w:rsid w:val="002D1E2A"/>
    <w:rsid w:val="002D2FA0"/>
    <w:rsid w:val="002D4790"/>
    <w:rsid w:val="002D6C6F"/>
    <w:rsid w:val="002D7150"/>
    <w:rsid w:val="002E04F6"/>
    <w:rsid w:val="002E2C47"/>
    <w:rsid w:val="002E4A3F"/>
    <w:rsid w:val="002E4A44"/>
    <w:rsid w:val="002E5875"/>
    <w:rsid w:val="002E66CE"/>
    <w:rsid w:val="002F0D8D"/>
    <w:rsid w:val="002F18EC"/>
    <w:rsid w:val="002F1B80"/>
    <w:rsid w:val="002F36C5"/>
    <w:rsid w:val="002F57E8"/>
    <w:rsid w:val="002F604A"/>
    <w:rsid w:val="002F684D"/>
    <w:rsid w:val="002F7422"/>
    <w:rsid w:val="0030404D"/>
    <w:rsid w:val="003048A2"/>
    <w:rsid w:val="0031786C"/>
    <w:rsid w:val="003315E4"/>
    <w:rsid w:val="003326DF"/>
    <w:rsid w:val="00333B29"/>
    <w:rsid w:val="003377C7"/>
    <w:rsid w:val="0035028B"/>
    <w:rsid w:val="003511DB"/>
    <w:rsid w:val="0035558B"/>
    <w:rsid w:val="003574BD"/>
    <w:rsid w:val="003601C8"/>
    <w:rsid w:val="003640AA"/>
    <w:rsid w:val="00377000"/>
    <w:rsid w:val="003833CF"/>
    <w:rsid w:val="00390959"/>
    <w:rsid w:val="0039129E"/>
    <w:rsid w:val="00391D87"/>
    <w:rsid w:val="003A145C"/>
    <w:rsid w:val="003B16D0"/>
    <w:rsid w:val="003B6608"/>
    <w:rsid w:val="003C0344"/>
    <w:rsid w:val="003D3F54"/>
    <w:rsid w:val="003D5102"/>
    <w:rsid w:val="003E0E71"/>
    <w:rsid w:val="003E24AA"/>
    <w:rsid w:val="003E6D68"/>
    <w:rsid w:val="003F17B1"/>
    <w:rsid w:val="003F42C2"/>
    <w:rsid w:val="003F5927"/>
    <w:rsid w:val="003F73F2"/>
    <w:rsid w:val="00403986"/>
    <w:rsid w:val="00403DC3"/>
    <w:rsid w:val="00415A9C"/>
    <w:rsid w:val="0043436B"/>
    <w:rsid w:val="004435D0"/>
    <w:rsid w:val="00444342"/>
    <w:rsid w:val="004454D4"/>
    <w:rsid w:val="0044556E"/>
    <w:rsid w:val="0044697D"/>
    <w:rsid w:val="00460431"/>
    <w:rsid w:val="00475BA4"/>
    <w:rsid w:val="00486902"/>
    <w:rsid w:val="004907DE"/>
    <w:rsid w:val="00491FF1"/>
    <w:rsid w:val="00493562"/>
    <w:rsid w:val="004A6E43"/>
    <w:rsid w:val="004B0B99"/>
    <w:rsid w:val="004C0A36"/>
    <w:rsid w:val="004C65E5"/>
    <w:rsid w:val="004D102A"/>
    <w:rsid w:val="004D1751"/>
    <w:rsid w:val="004D6152"/>
    <w:rsid w:val="004D70D6"/>
    <w:rsid w:val="005033D6"/>
    <w:rsid w:val="00505696"/>
    <w:rsid w:val="00514659"/>
    <w:rsid w:val="00515258"/>
    <w:rsid w:val="00521C2C"/>
    <w:rsid w:val="00522325"/>
    <w:rsid w:val="00522988"/>
    <w:rsid w:val="00534E40"/>
    <w:rsid w:val="0054078E"/>
    <w:rsid w:val="00542B01"/>
    <w:rsid w:val="005466B4"/>
    <w:rsid w:val="00547DCF"/>
    <w:rsid w:val="00565AC5"/>
    <w:rsid w:val="005706E4"/>
    <w:rsid w:val="0057252A"/>
    <w:rsid w:val="00574149"/>
    <w:rsid w:val="005747B3"/>
    <w:rsid w:val="00586487"/>
    <w:rsid w:val="00591A25"/>
    <w:rsid w:val="00592110"/>
    <w:rsid w:val="005934B7"/>
    <w:rsid w:val="00594713"/>
    <w:rsid w:val="005B0FE7"/>
    <w:rsid w:val="005B2171"/>
    <w:rsid w:val="005B2FF0"/>
    <w:rsid w:val="005B722B"/>
    <w:rsid w:val="005B7D07"/>
    <w:rsid w:val="005C17AF"/>
    <w:rsid w:val="005C2967"/>
    <w:rsid w:val="005C41F6"/>
    <w:rsid w:val="005D2040"/>
    <w:rsid w:val="005D235C"/>
    <w:rsid w:val="005D2F9F"/>
    <w:rsid w:val="005D525E"/>
    <w:rsid w:val="005D6B4A"/>
    <w:rsid w:val="005E0DC4"/>
    <w:rsid w:val="005E0F59"/>
    <w:rsid w:val="005E4043"/>
    <w:rsid w:val="005F3B81"/>
    <w:rsid w:val="005F5967"/>
    <w:rsid w:val="0061018C"/>
    <w:rsid w:val="00613115"/>
    <w:rsid w:val="0061485E"/>
    <w:rsid w:val="006149B5"/>
    <w:rsid w:val="00614CE0"/>
    <w:rsid w:val="00621C81"/>
    <w:rsid w:val="00626A73"/>
    <w:rsid w:val="00634080"/>
    <w:rsid w:val="00636281"/>
    <w:rsid w:val="00643157"/>
    <w:rsid w:val="00646B08"/>
    <w:rsid w:val="006661FC"/>
    <w:rsid w:val="00667EE5"/>
    <w:rsid w:val="006817FA"/>
    <w:rsid w:val="006864F7"/>
    <w:rsid w:val="006879D2"/>
    <w:rsid w:val="00691E68"/>
    <w:rsid w:val="00694AEA"/>
    <w:rsid w:val="006A4206"/>
    <w:rsid w:val="006A764D"/>
    <w:rsid w:val="006B27A5"/>
    <w:rsid w:val="006B5821"/>
    <w:rsid w:val="006C3C90"/>
    <w:rsid w:val="006C4A2E"/>
    <w:rsid w:val="006C5AA6"/>
    <w:rsid w:val="006D2A29"/>
    <w:rsid w:val="006E0786"/>
    <w:rsid w:val="006E2819"/>
    <w:rsid w:val="006E6826"/>
    <w:rsid w:val="006F23F2"/>
    <w:rsid w:val="006F24D0"/>
    <w:rsid w:val="00706205"/>
    <w:rsid w:val="00711EB9"/>
    <w:rsid w:val="00715180"/>
    <w:rsid w:val="00715DE1"/>
    <w:rsid w:val="00717254"/>
    <w:rsid w:val="00720EE2"/>
    <w:rsid w:val="00721AD6"/>
    <w:rsid w:val="00723754"/>
    <w:rsid w:val="007275D3"/>
    <w:rsid w:val="00730599"/>
    <w:rsid w:val="00737FED"/>
    <w:rsid w:val="00746700"/>
    <w:rsid w:val="007519CB"/>
    <w:rsid w:val="00756A45"/>
    <w:rsid w:val="00766803"/>
    <w:rsid w:val="00770A7E"/>
    <w:rsid w:val="00780703"/>
    <w:rsid w:val="007817F5"/>
    <w:rsid w:val="00784736"/>
    <w:rsid w:val="00791FA4"/>
    <w:rsid w:val="007A1FDB"/>
    <w:rsid w:val="007A360D"/>
    <w:rsid w:val="007A4B80"/>
    <w:rsid w:val="007A59E5"/>
    <w:rsid w:val="007C4145"/>
    <w:rsid w:val="007C7836"/>
    <w:rsid w:val="007C7F8A"/>
    <w:rsid w:val="007D7FB8"/>
    <w:rsid w:val="007E1D0A"/>
    <w:rsid w:val="007E3C98"/>
    <w:rsid w:val="007F08F0"/>
    <w:rsid w:val="007F7621"/>
    <w:rsid w:val="00801912"/>
    <w:rsid w:val="00801995"/>
    <w:rsid w:val="00801B82"/>
    <w:rsid w:val="00812044"/>
    <w:rsid w:val="00815968"/>
    <w:rsid w:val="00832C59"/>
    <w:rsid w:val="0083585E"/>
    <w:rsid w:val="00842648"/>
    <w:rsid w:val="00843EC2"/>
    <w:rsid w:val="00844817"/>
    <w:rsid w:val="00851B54"/>
    <w:rsid w:val="0085221B"/>
    <w:rsid w:val="00852606"/>
    <w:rsid w:val="00864A28"/>
    <w:rsid w:val="008703DA"/>
    <w:rsid w:val="00870EEE"/>
    <w:rsid w:val="008731E0"/>
    <w:rsid w:val="0087364B"/>
    <w:rsid w:val="00884C01"/>
    <w:rsid w:val="008909A2"/>
    <w:rsid w:val="00891350"/>
    <w:rsid w:val="00893AE2"/>
    <w:rsid w:val="00894E83"/>
    <w:rsid w:val="00894F8C"/>
    <w:rsid w:val="008A1C5F"/>
    <w:rsid w:val="008A2F6B"/>
    <w:rsid w:val="008A5216"/>
    <w:rsid w:val="008A772B"/>
    <w:rsid w:val="008B5BE8"/>
    <w:rsid w:val="008C030D"/>
    <w:rsid w:val="008C491B"/>
    <w:rsid w:val="008E2D4B"/>
    <w:rsid w:val="009032EF"/>
    <w:rsid w:val="00907908"/>
    <w:rsid w:val="00911D78"/>
    <w:rsid w:val="00913FCF"/>
    <w:rsid w:val="00914CE6"/>
    <w:rsid w:val="00914FBD"/>
    <w:rsid w:val="00916628"/>
    <w:rsid w:val="00927663"/>
    <w:rsid w:val="00931EBC"/>
    <w:rsid w:val="00935AE1"/>
    <w:rsid w:val="009369AB"/>
    <w:rsid w:val="0094533E"/>
    <w:rsid w:val="009507E1"/>
    <w:rsid w:val="00960103"/>
    <w:rsid w:val="00961AFF"/>
    <w:rsid w:val="00967C05"/>
    <w:rsid w:val="00973A70"/>
    <w:rsid w:val="0097611D"/>
    <w:rsid w:val="009804FC"/>
    <w:rsid w:val="0098320B"/>
    <w:rsid w:val="009861E8"/>
    <w:rsid w:val="009C584D"/>
    <w:rsid w:val="009D3087"/>
    <w:rsid w:val="009D457B"/>
    <w:rsid w:val="009D7A55"/>
    <w:rsid w:val="009E33DC"/>
    <w:rsid w:val="009E69A4"/>
    <w:rsid w:val="009E7654"/>
    <w:rsid w:val="009F02B6"/>
    <w:rsid w:val="009F09DE"/>
    <w:rsid w:val="009F2F82"/>
    <w:rsid w:val="009F3495"/>
    <w:rsid w:val="009F35DF"/>
    <w:rsid w:val="00A03EC9"/>
    <w:rsid w:val="00A04BEF"/>
    <w:rsid w:val="00A055EB"/>
    <w:rsid w:val="00A068C1"/>
    <w:rsid w:val="00A37B44"/>
    <w:rsid w:val="00A40DA2"/>
    <w:rsid w:val="00A41C84"/>
    <w:rsid w:val="00A42AB9"/>
    <w:rsid w:val="00A50B0C"/>
    <w:rsid w:val="00A52A98"/>
    <w:rsid w:val="00A54EF3"/>
    <w:rsid w:val="00A60291"/>
    <w:rsid w:val="00A63737"/>
    <w:rsid w:val="00A63ED7"/>
    <w:rsid w:val="00A640ED"/>
    <w:rsid w:val="00A86C43"/>
    <w:rsid w:val="00A912C3"/>
    <w:rsid w:val="00A92477"/>
    <w:rsid w:val="00A96395"/>
    <w:rsid w:val="00AA6EBA"/>
    <w:rsid w:val="00AA6F83"/>
    <w:rsid w:val="00AB2635"/>
    <w:rsid w:val="00AB370A"/>
    <w:rsid w:val="00AB70B3"/>
    <w:rsid w:val="00AB7DAA"/>
    <w:rsid w:val="00AC016E"/>
    <w:rsid w:val="00AD0E42"/>
    <w:rsid w:val="00AD1EA5"/>
    <w:rsid w:val="00AD72C5"/>
    <w:rsid w:val="00B01FFD"/>
    <w:rsid w:val="00B150C8"/>
    <w:rsid w:val="00B173A9"/>
    <w:rsid w:val="00B202E1"/>
    <w:rsid w:val="00B2582B"/>
    <w:rsid w:val="00B26B2B"/>
    <w:rsid w:val="00B411E0"/>
    <w:rsid w:val="00B41DF9"/>
    <w:rsid w:val="00B43F9D"/>
    <w:rsid w:val="00B45605"/>
    <w:rsid w:val="00B45F6F"/>
    <w:rsid w:val="00B47379"/>
    <w:rsid w:val="00B54676"/>
    <w:rsid w:val="00B5645C"/>
    <w:rsid w:val="00B65270"/>
    <w:rsid w:val="00B753B2"/>
    <w:rsid w:val="00B77F1A"/>
    <w:rsid w:val="00B837A5"/>
    <w:rsid w:val="00B865B4"/>
    <w:rsid w:val="00B92F58"/>
    <w:rsid w:val="00B93425"/>
    <w:rsid w:val="00BB57E2"/>
    <w:rsid w:val="00BB7BA3"/>
    <w:rsid w:val="00BC1B65"/>
    <w:rsid w:val="00BD097A"/>
    <w:rsid w:val="00BF19DB"/>
    <w:rsid w:val="00BF6171"/>
    <w:rsid w:val="00BF6D0B"/>
    <w:rsid w:val="00BF796B"/>
    <w:rsid w:val="00C03C25"/>
    <w:rsid w:val="00C05268"/>
    <w:rsid w:val="00C05E17"/>
    <w:rsid w:val="00C22494"/>
    <w:rsid w:val="00C24664"/>
    <w:rsid w:val="00C260BA"/>
    <w:rsid w:val="00C3119A"/>
    <w:rsid w:val="00C3280E"/>
    <w:rsid w:val="00C331B7"/>
    <w:rsid w:val="00C3430E"/>
    <w:rsid w:val="00C36C2E"/>
    <w:rsid w:val="00C40CF6"/>
    <w:rsid w:val="00C43DD1"/>
    <w:rsid w:val="00C4513D"/>
    <w:rsid w:val="00C47F15"/>
    <w:rsid w:val="00C623CB"/>
    <w:rsid w:val="00C65762"/>
    <w:rsid w:val="00C65B1E"/>
    <w:rsid w:val="00C70184"/>
    <w:rsid w:val="00C73494"/>
    <w:rsid w:val="00C7443B"/>
    <w:rsid w:val="00C803E6"/>
    <w:rsid w:val="00C821B1"/>
    <w:rsid w:val="00C84333"/>
    <w:rsid w:val="00C8763B"/>
    <w:rsid w:val="00C92C32"/>
    <w:rsid w:val="00C96E8D"/>
    <w:rsid w:val="00CA192E"/>
    <w:rsid w:val="00CB2478"/>
    <w:rsid w:val="00CB7282"/>
    <w:rsid w:val="00CC4BBA"/>
    <w:rsid w:val="00CD2A95"/>
    <w:rsid w:val="00CF59A0"/>
    <w:rsid w:val="00D018F1"/>
    <w:rsid w:val="00D01AD7"/>
    <w:rsid w:val="00D11243"/>
    <w:rsid w:val="00D132AD"/>
    <w:rsid w:val="00D161BA"/>
    <w:rsid w:val="00D25028"/>
    <w:rsid w:val="00D33EEF"/>
    <w:rsid w:val="00D357CC"/>
    <w:rsid w:val="00D44F43"/>
    <w:rsid w:val="00D511D9"/>
    <w:rsid w:val="00D52578"/>
    <w:rsid w:val="00D61A60"/>
    <w:rsid w:val="00D62442"/>
    <w:rsid w:val="00D661D9"/>
    <w:rsid w:val="00D73073"/>
    <w:rsid w:val="00D754FA"/>
    <w:rsid w:val="00D7678C"/>
    <w:rsid w:val="00D8030A"/>
    <w:rsid w:val="00D86ABB"/>
    <w:rsid w:val="00D87678"/>
    <w:rsid w:val="00D87DF8"/>
    <w:rsid w:val="00D94E2E"/>
    <w:rsid w:val="00D95994"/>
    <w:rsid w:val="00D97AAD"/>
    <w:rsid w:val="00DC209F"/>
    <w:rsid w:val="00DC4578"/>
    <w:rsid w:val="00DC750F"/>
    <w:rsid w:val="00DD485C"/>
    <w:rsid w:val="00DD7413"/>
    <w:rsid w:val="00DD7BFE"/>
    <w:rsid w:val="00E05543"/>
    <w:rsid w:val="00E117B6"/>
    <w:rsid w:val="00E154E0"/>
    <w:rsid w:val="00E15855"/>
    <w:rsid w:val="00E15910"/>
    <w:rsid w:val="00E20FF0"/>
    <w:rsid w:val="00E22E16"/>
    <w:rsid w:val="00E23C30"/>
    <w:rsid w:val="00E26B90"/>
    <w:rsid w:val="00E42994"/>
    <w:rsid w:val="00E461A6"/>
    <w:rsid w:val="00E520D9"/>
    <w:rsid w:val="00E556E0"/>
    <w:rsid w:val="00E55EF1"/>
    <w:rsid w:val="00E60D76"/>
    <w:rsid w:val="00E612C3"/>
    <w:rsid w:val="00E65154"/>
    <w:rsid w:val="00E65B1F"/>
    <w:rsid w:val="00E871F1"/>
    <w:rsid w:val="00E92545"/>
    <w:rsid w:val="00E94653"/>
    <w:rsid w:val="00E94B35"/>
    <w:rsid w:val="00EA4552"/>
    <w:rsid w:val="00EB10FD"/>
    <w:rsid w:val="00EC073E"/>
    <w:rsid w:val="00EC0965"/>
    <w:rsid w:val="00EC126D"/>
    <w:rsid w:val="00EC4346"/>
    <w:rsid w:val="00EE2F91"/>
    <w:rsid w:val="00F05176"/>
    <w:rsid w:val="00F12319"/>
    <w:rsid w:val="00F348C8"/>
    <w:rsid w:val="00F3692A"/>
    <w:rsid w:val="00F410EC"/>
    <w:rsid w:val="00F53E69"/>
    <w:rsid w:val="00F551FB"/>
    <w:rsid w:val="00F56CCD"/>
    <w:rsid w:val="00F647DD"/>
    <w:rsid w:val="00F64817"/>
    <w:rsid w:val="00F73172"/>
    <w:rsid w:val="00F73CF6"/>
    <w:rsid w:val="00F7537F"/>
    <w:rsid w:val="00F76037"/>
    <w:rsid w:val="00F7771C"/>
    <w:rsid w:val="00FA0578"/>
    <w:rsid w:val="00FA272C"/>
    <w:rsid w:val="00FA3315"/>
    <w:rsid w:val="00FA392B"/>
    <w:rsid w:val="00FA3C48"/>
    <w:rsid w:val="00FB373A"/>
    <w:rsid w:val="00FC1CBB"/>
    <w:rsid w:val="00FC30AD"/>
    <w:rsid w:val="00FD2F91"/>
    <w:rsid w:val="00FD5134"/>
    <w:rsid w:val="00FE2A3A"/>
    <w:rsid w:val="00FE4AF4"/>
    <w:rsid w:val="00FF0736"/>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71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7168"/>
    <w:rPr>
      <w:rFonts w:ascii="Tahoma" w:hAnsi="Tahoma" w:cs="Tahoma"/>
      <w:sz w:val="16"/>
      <w:szCs w:val="16"/>
    </w:rPr>
  </w:style>
  <w:style w:type="table" w:styleId="GradeMdia1-nfase3">
    <w:name w:val="Medium Grid 1 Accent 3"/>
    <w:basedOn w:val="Tabelanormal"/>
    <w:uiPriority w:val="67"/>
    <w:rsid w:val="007A4B8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e2">
    <w:name w:val="Light List Accent 2"/>
    <w:basedOn w:val="Tabelanormal"/>
    <w:uiPriority w:val="61"/>
    <w:rsid w:val="007A4B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mentoMdio2-nfase1">
    <w:name w:val="Medium Shading 2 Accent 1"/>
    <w:basedOn w:val="Tabelanormal"/>
    <w:uiPriority w:val="64"/>
    <w:rsid w:val="007A4B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E28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475BA4"/>
    <w:rPr>
      <w:color w:val="0000FF" w:themeColor="hyperlink"/>
      <w:u w:val="single"/>
    </w:rPr>
  </w:style>
  <w:style w:type="paragraph" w:styleId="PargrafodaLista">
    <w:name w:val="List Paragraph"/>
    <w:basedOn w:val="Normal"/>
    <w:uiPriority w:val="34"/>
    <w:qFormat/>
    <w:rsid w:val="00155302"/>
    <w:pPr>
      <w:ind w:left="720"/>
      <w:contextualSpacing/>
    </w:pPr>
  </w:style>
  <w:style w:type="paragraph" w:styleId="Cabealho">
    <w:name w:val="header"/>
    <w:basedOn w:val="Normal"/>
    <w:link w:val="CabealhoChar"/>
    <w:uiPriority w:val="99"/>
    <w:unhideWhenUsed/>
    <w:rsid w:val="00FA27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272C"/>
  </w:style>
  <w:style w:type="paragraph" w:styleId="Rodap">
    <w:name w:val="footer"/>
    <w:basedOn w:val="Normal"/>
    <w:link w:val="RodapChar"/>
    <w:uiPriority w:val="99"/>
    <w:unhideWhenUsed/>
    <w:rsid w:val="00FA272C"/>
    <w:pPr>
      <w:tabs>
        <w:tab w:val="center" w:pos="4252"/>
        <w:tab w:val="right" w:pos="8504"/>
      </w:tabs>
      <w:spacing w:after="0" w:line="240" w:lineRule="auto"/>
    </w:pPr>
  </w:style>
  <w:style w:type="character" w:customStyle="1" w:styleId="RodapChar">
    <w:name w:val="Rodapé Char"/>
    <w:basedOn w:val="Fontepargpadro"/>
    <w:link w:val="Rodap"/>
    <w:uiPriority w:val="99"/>
    <w:rsid w:val="00FA2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71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7168"/>
    <w:rPr>
      <w:rFonts w:ascii="Tahoma" w:hAnsi="Tahoma" w:cs="Tahoma"/>
      <w:sz w:val="16"/>
      <w:szCs w:val="16"/>
    </w:rPr>
  </w:style>
  <w:style w:type="table" w:styleId="GradeMdia1-nfase3">
    <w:name w:val="Medium Grid 1 Accent 3"/>
    <w:basedOn w:val="Tabelanormal"/>
    <w:uiPriority w:val="67"/>
    <w:rsid w:val="007A4B8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e2">
    <w:name w:val="Light List Accent 2"/>
    <w:basedOn w:val="Tabelanormal"/>
    <w:uiPriority w:val="61"/>
    <w:rsid w:val="007A4B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mentoMdio2-nfase1">
    <w:name w:val="Medium Shading 2 Accent 1"/>
    <w:basedOn w:val="Tabelanormal"/>
    <w:uiPriority w:val="64"/>
    <w:rsid w:val="007A4B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E28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475BA4"/>
    <w:rPr>
      <w:color w:val="0000FF" w:themeColor="hyperlink"/>
      <w:u w:val="single"/>
    </w:rPr>
  </w:style>
  <w:style w:type="paragraph" w:styleId="PargrafodaLista">
    <w:name w:val="List Paragraph"/>
    <w:basedOn w:val="Normal"/>
    <w:uiPriority w:val="34"/>
    <w:qFormat/>
    <w:rsid w:val="00155302"/>
    <w:pPr>
      <w:ind w:left="720"/>
      <w:contextualSpacing/>
    </w:pPr>
  </w:style>
  <w:style w:type="paragraph" w:styleId="Cabealho">
    <w:name w:val="header"/>
    <w:basedOn w:val="Normal"/>
    <w:link w:val="CabealhoChar"/>
    <w:uiPriority w:val="99"/>
    <w:unhideWhenUsed/>
    <w:rsid w:val="00FA27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272C"/>
  </w:style>
  <w:style w:type="paragraph" w:styleId="Rodap">
    <w:name w:val="footer"/>
    <w:basedOn w:val="Normal"/>
    <w:link w:val="RodapChar"/>
    <w:uiPriority w:val="99"/>
    <w:unhideWhenUsed/>
    <w:rsid w:val="00FA272C"/>
    <w:pPr>
      <w:tabs>
        <w:tab w:val="center" w:pos="4252"/>
        <w:tab w:val="right" w:pos="8504"/>
      </w:tabs>
      <w:spacing w:after="0" w:line="240" w:lineRule="auto"/>
    </w:pPr>
  </w:style>
  <w:style w:type="character" w:customStyle="1" w:styleId="RodapChar">
    <w:name w:val="Rodapé Char"/>
    <w:basedOn w:val="Fontepargpadro"/>
    <w:link w:val="Rodap"/>
    <w:uiPriority w:val="99"/>
    <w:rsid w:val="00FA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0881">
      <w:bodyDiv w:val="1"/>
      <w:marLeft w:val="0"/>
      <w:marRight w:val="0"/>
      <w:marTop w:val="0"/>
      <w:marBottom w:val="0"/>
      <w:divBdr>
        <w:top w:val="none" w:sz="0" w:space="0" w:color="auto"/>
        <w:left w:val="none" w:sz="0" w:space="0" w:color="auto"/>
        <w:bottom w:val="none" w:sz="0" w:space="0" w:color="auto"/>
        <w:right w:val="none" w:sz="0" w:space="0" w:color="auto"/>
      </w:divBdr>
    </w:div>
    <w:div w:id="62725061">
      <w:bodyDiv w:val="1"/>
      <w:marLeft w:val="0"/>
      <w:marRight w:val="0"/>
      <w:marTop w:val="0"/>
      <w:marBottom w:val="0"/>
      <w:divBdr>
        <w:top w:val="none" w:sz="0" w:space="0" w:color="auto"/>
        <w:left w:val="none" w:sz="0" w:space="0" w:color="auto"/>
        <w:bottom w:val="none" w:sz="0" w:space="0" w:color="auto"/>
        <w:right w:val="none" w:sz="0" w:space="0" w:color="auto"/>
      </w:divBdr>
    </w:div>
    <w:div w:id="123937474">
      <w:bodyDiv w:val="1"/>
      <w:marLeft w:val="0"/>
      <w:marRight w:val="0"/>
      <w:marTop w:val="0"/>
      <w:marBottom w:val="0"/>
      <w:divBdr>
        <w:top w:val="none" w:sz="0" w:space="0" w:color="auto"/>
        <w:left w:val="none" w:sz="0" w:space="0" w:color="auto"/>
        <w:bottom w:val="none" w:sz="0" w:space="0" w:color="auto"/>
        <w:right w:val="none" w:sz="0" w:space="0" w:color="auto"/>
      </w:divBdr>
    </w:div>
    <w:div w:id="399982337">
      <w:bodyDiv w:val="1"/>
      <w:marLeft w:val="0"/>
      <w:marRight w:val="0"/>
      <w:marTop w:val="0"/>
      <w:marBottom w:val="0"/>
      <w:divBdr>
        <w:top w:val="none" w:sz="0" w:space="0" w:color="auto"/>
        <w:left w:val="none" w:sz="0" w:space="0" w:color="auto"/>
        <w:bottom w:val="none" w:sz="0" w:space="0" w:color="auto"/>
        <w:right w:val="none" w:sz="0" w:space="0" w:color="auto"/>
      </w:divBdr>
    </w:div>
    <w:div w:id="512766104">
      <w:bodyDiv w:val="1"/>
      <w:marLeft w:val="0"/>
      <w:marRight w:val="0"/>
      <w:marTop w:val="0"/>
      <w:marBottom w:val="0"/>
      <w:divBdr>
        <w:top w:val="none" w:sz="0" w:space="0" w:color="auto"/>
        <w:left w:val="none" w:sz="0" w:space="0" w:color="auto"/>
        <w:bottom w:val="none" w:sz="0" w:space="0" w:color="auto"/>
        <w:right w:val="none" w:sz="0" w:space="0" w:color="auto"/>
      </w:divBdr>
    </w:div>
    <w:div w:id="524174469">
      <w:bodyDiv w:val="1"/>
      <w:marLeft w:val="0"/>
      <w:marRight w:val="0"/>
      <w:marTop w:val="0"/>
      <w:marBottom w:val="0"/>
      <w:divBdr>
        <w:top w:val="none" w:sz="0" w:space="0" w:color="auto"/>
        <w:left w:val="none" w:sz="0" w:space="0" w:color="auto"/>
        <w:bottom w:val="none" w:sz="0" w:space="0" w:color="auto"/>
        <w:right w:val="none" w:sz="0" w:space="0" w:color="auto"/>
      </w:divBdr>
    </w:div>
    <w:div w:id="906838110">
      <w:bodyDiv w:val="1"/>
      <w:marLeft w:val="0"/>
      <w:marRight w:val="0"/>
      <w:marTop w:val="0"/>
      <w:marBottom w:val="0"/>
      <w:divBdr>
        <w:top w:val="none" w:sz="0" w:space="0" w:color="auto"/>
        <w:left w:val="none" w:sz="0" w:space="0" w:color="auto"/>
        <w:bottom w:val="none" w:sz="0" w:space="0" w:color="auto"/>
        <w:right w:val="none" w:sz="0" w:space="0" w:color="auto"/>
      </w:divBdr>
    </w:div>
    <w:div w:id="930820173">
      <w:bodyDiv w:val="1"/>
      <w:marLeft w:val="0"/>
      <w:marRight w:val="0"/>
      <w:marTop w:val="0"/>
      <w:marBottom w:val="0"/>
      <w:divBdr>
        <w:top w:val="none" w:sz="0" w:space="0" w:color="auto"/>
        <w:left w:val="none" w:sz="0" w:space="0" w:color="auto"/>
        <w:bottom w:val="none" w:sz="0" w:space="0" w:color="auto"/>
        <w:right w:val="none" w:sz="0" w:space="0" w:color="auto"/>
      </w:divBdr>
    </w:div>
    <w:div w:id="964428000">
      <w:bodyDiv w:val="1"/>
      <w:marLeft w:val="0"/>
      <w:marRight w:val="0"/>
      <w:marTop w:val="0"/>
      <w:marBottom w:val="0"/>
      <w:divBdr>
        <w:top w:val="none" w:sz="0" w:space="0" w:color="auto"/>
        <w:left w:val="none" w:sz="0" w:space="0" w:color="auto"/>
        <w:bottom w:val="none" w:sz="0" w:space="0" w:color="auto"/>
        <w:right w:val="none" w:sz="0" w:space="0" w:color="auto"/>
      </w:divBdr>
    </w:div>
    <w:div w:id="1036272187">
      <w:bodyDiv w:val="1"/>
      <w:marLeft w:val="0"/>
      <w:marRight w:val="0"/>
      <w:marTop w:val="0"/>
      <w:marBottom w:val="0"/>
      <w:divBdr>
        <w:top w:val="none" w:sz="0" w:space="0" w:color="auto"/>
        <w:left w:val="none" w:sz="0" w:space="0" w:color="auto"/>
        <w:bottom w:val="none" w:sz="0" w:space="0" w:color="auto"/>
        <w:right w:val="none" w:sz="0" w:space="0" w:color="auto"/>
      </w:divBdr>
    </w:div>
    <w:div w:id="1061711924">
      <w:bodyDiv w:val="1"/>
      <w:marLeft w:val="0"/>
      <w:marRight w:val="0"/>
      <w:marTop w:val="0"/>
      <w:marBottom w:val="0"/>
      <w:divBdr>
        <w:top w:val="none" w:sz="0" w:space="0" w:color="auto"/>
        <w:left w:val="none" w:sz="0" w:space="0" w:color="auto"/>
        <w:bottom w:val="none" w:sz="0" w:space="0" w:color="auto"/>
        <w:right w:val="none" w:sz="0" w:space="0" w:color="auto"/>
      </w:divBdr>
    </w:div>
    <w:div w:id="1232958346">
      <w:bodyDiv w:val="1"/>
      <w:marLeft w:val="0"/>
      <w:marRight w:val="0"/>
      <w:marTop w:val="0"/>
      <w:marBottom w:val="0"/>
      <w:divBdr>
        <w:top w:val="none" w:sz="0" w:space="0" w:color="auto"/>
        <w:left w:val="none" w:sz="0" w:space="0" w:color="auto"/>
        <w:bottom w:val="none" w:sz="0" w:space="0" w:color="auto"/>
        <w:right w:val="none" w:sz="0" w:space="0" w:color="auto"/>
      </w:divBdr>
    </w:div>
    <w:div w:id="1391927196">
      <w:bodyDiv w:val="1"/>
      <w:marLeft w:val="0"/>
      <w:marRight w:val="0"/>
      <w:marTop w:val="0"/>
      <w:marBottom w:val="0"/>
      <w:divBdr>
        <w:top w:val="none" w:sz="0" w:space="0" w:color="auto"/>
        <w:left w:val="none" w:sz="0" w:space="0" w:color="auto"/>
        <w:bottom w:val="none" w:sz="0" w:space="0" w:color="auto"/>
        <w:right w:val="none" w:sz="0" w:space="0" w:color="auto"/>
      </w:divBdr>
    </w:div>
    <w:div w:id="14182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varistoreis@cepro.pi.gov.b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unda&#231;&#227;o\Documents\PIB%20Regional%202013\Tabelas%20e%20Graficos%20PIB%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unda&#231;&#227;o\Documents\PIB%20Regional%202013\Tabelas%20e%20Graficos%20PIB%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unda&#231;&#227;o\Documents\PIB%20Regional%202013\Tabelas%20e%20Graficos%20PIB%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unda&#231;&#227;o\Documents\PIB%20Regional%202013\Tabelas%20e%20Graficos%20PIB%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Plan2!$F$51</c:f>
              <c:strCache>
                <c:ptCount val="1"/>
                <c:pt idx="0">
                  <c:v>Piauí</c:v>
                </c:pt>
              </c:strCache>
            </c:strRef>
          </c:tx>
          <c:dLbls>
            <c:dLbl>
              <c:idx val="0"/>
              <c:layout>
                <c:manualLayout>
                  <c:x val="-2.5000000000000001E-2"/>
                  <c:y val="4.1666666666666644E-2"/>
                </c:manualLayout>
              </c:layou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0"/>
          </c:dLbls>
          <c:cat>
            <c:numRef>
              <c:f>Plan2!$E$52:$E$54</c:f>
              <c:numCache>
                <c:formatCode>General</c:formatCode>
                <c:ptCount val="3"/>
                <c:pt idx="0">
                  <c:v>2011</c:v>
                </c:pt>
                <c:pt idx="1">
                  <c:v>2012</c:v>
                </c:pt>
                <c:pt idx="2">
                  <c:v>2013</c:v>
                </c:pt>
              </c:numCache>
            </c:numRef>
          </c:cat>
          <c:val>
            <c:numRef>
              <c:f>Plan2!$F$52:$F$54</c:f>
              <c:numCache>
                <c:formatCode>General</c:formatCode>
                <c:ptCount val="3"/>
                <c:pt idx="0">
                  <c:v>5.2</c:v>
                </c:pt>
                <c:pt idx="1">
                  <c:v>5.3</c:v>
                </c:pt>
                <c:pt idx="2">
                  <c:v>2.4</c:v>
                </c:pt>
              </c:numCache>
            </c:numRef>
          </c:val>
          <c:smooth val="0"/>
        </c:ser>
        <c:ser>
          <c:idx val="1"/>
          <c:order val="1"/>
          <c:tx>
            <c:strRef>
              <c:f>Plan2!$G$51</c:f>
              <c:strCache>
                <c:ptCount val="1"/>
                <c:pt idx="0">
                  <c:v>Brasil</c:v>
                </c:pt>
              </c:strCache>
            </c:strRef>
          </c:tx>
          <c:dLbls>
            <c:dLbl>
              <c:idx val="2"/>
              <c:layout>
                <c:manualLayout>
                  <c:x val="-1.9444444444444445E-2"/>
                  <c:y val="-4.6296296296296294E-2"/>
                </c:manualLayout>
              </c:layou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0"/>
          </c:dLbls>
          <c:cat>
            <c:numRef>
              <c:f>Plan2!$E$52:$E$54</c:f>
              <c:numCache>
                <c:formatCode>General</c:formatCode>
                <c:ptCount val="3"/>
                <c:pt idx="0">
                  <c:v>2011</c:v>
                </c:pt>
                <c:pt idx="1">
                  <c:v>2012</c:v>
                </c:pt>
                <c:pt idx="2">
                  <c:v>2013</c:v>
                </c:pt>
              </c:numCache>
            </c:numRef>
          </c:cat>
          <c:val>
            <c:numRef>
              <c:f>Plan2!$G$52:$G$54</c:f>
              <c:numCache>
                <c:formatCode>General</c:formatCode>
                <c:ptCount val="3"/>
                <c:pt idx="0">
                  <c:v>3.9</c:v>
                </c:pt>
                <c:pt idx="1">
                  <c:v>1.9</c:v>
                </c:pt>
                <c:pt idx="2">
                  <c:v>3</c:v>
                </c:pt>
              </c:numCache>
            </c:numRef>
          </c:val>
          <c:smooth val="0"/>
        </c:ser>
        <c:dLbls>
          <c:showLegendKey val="0"/>
          <c:showVal val="0"/>
          <c:showCatName val="0"/>
          <c:showSerName val="0"/>
          <c:showPercent val="0"/>
          <c:showBubbleSize val="0"/>
        </c:dLbls>
        <c:marker val="1"/>
        <c:smooth val="0"/>
        <c:axId val="32911744"/>
        <c:axId val="32913280"/>
      </c:lineChart>
      <c:catAx>
        <c:axId val="32911744"/>
        <c:scaling>
          <c:orientation val="minMax"/>
        </c:scaling>
        <c:delete val="0"/>
        <c:axPos val="b"/>
        <c:numFmt formatCode="General" sourceLinked="1"/>
        <c:majorTickMark val="out"/>
        <c:minorTickMark val="none"/>
        <c:tickLblPos val="nextTo"/>
        <c:txPr>
          <a:bodyPr/>
          <a:lstStyle/>
          <a:p>
            <a:pPr>
              <a:defRPr sz="1100" b="1"/>
            </a:pPr>
            <a:endParaRPr lang="pt-BR"/>
          </a:p>
        </c:txPr>
        <c:crossAx val="32913280"/>
        <c:crosses val="autoZero"/>
        <c:auto val="1"/>
        <c:lblAlgn val="ctr"/>
        <c:lblOffset val="100"/>
        <c:noMultiLvlLbl val="0"/>
      </c:catAx>
      <c:valAx>
        <c:axId val="32913280"/>
        <c:scaling>
          <c:orientation val="minMax"/>
        </c:scaling>
        <c:delete val="0"/>
        <c:axPos val="l"/>
        <c:majorGridlines/>
        <c:numFmt formatCode="General" sourceLinked="1"/>
        <c:majorTickMark val="out"/>
        <c:minorTickMark val="none"/>
        <c:tickLblPos val="nextTo"/>
        <c:txPr>
          <a:bodyPr/>
          <a:lstStyle/>
          <a:p>
            <a:pPr>
              <a:defRPr sz="1050" b="1"/>
            </a:pPr>
            <a:endParaRPr lang="pt-BR"/>
          </a:p>
        </c:txPr>
        <c:crossAx val="32911744"/>
        <c:crosses val="autoZero"/>
        <c:crossBetween val="between"/>
      </c:valAx>
      <c:spPr>
        <a:solidFill>
          <a:schemeClr val="accent3">
            <a:lumMod val="20000"/>
            <a:lumOff val="80000"/>
          </a:schemeClr>
        </a:solidFill>
      </c:spPr>
    </c:plotArea>
    <c:legend>
      <c:legendPos val="b"/>
      <c:layout/>
      <c:overlay val="0"/>
      <c:txPr>
        <a:bodyPr/>
        <a:lstStyle/>
        <a:p>
          <a:pPr>
            <a:defRPr sz="1200" b="1"/>
          </a:pPr>
          <a:endParaRPr lang="pt-BR"/>
        </a:p>
      </c:txPr>
    </c:legend>
    <c:plotVisOnly val="1"/>
    <c:dispBlanksAs val="gap"/>
    <c:showDLblsOverMax val="0"/>
  </c:chart>
  <c:spPr>
    <a:solidFill>
      <a:schemeClr val="accent3">
        <a:lumMod val="60000"/>
        <a:lumOff val="4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cked"/>
        <c:varyColors val="0"/>
        <c:ser>
          <c:idx val="0"/>
          <c:order val="0"/>
          <c:tx>
            <c:strRef>
              <c:f>Plan2!$E$37</c:f>
              <c:strCache>
                <c:ptCount val="1"/>
                <c:pt idx="0">
                  <c:v>Piauí</c:v>
                </c:pt>
              </c:strCache>
            </c:strRef>
          </c:tx>
          <c:dLbls>
            <c:dLbl>
              <c:idx val="0"/>
              <c:layout>
                <c:manualLayout>
                  <c:x val="-2.7035332877132251E-2"/>
                  <c:y val="6.4814814814814811E-2"/>
                </c:manualLayout>
              </c:layout>
              <c:showLegendKey val="0"/>
              <c:showVal val="1"/>
              <c:showCatName val="0"/>
              <c:showSerName val="0"/>
              <c:showPercent val="0"/>
              <c:showBubbleSize val="0"/>
            </c:dLbl>
            <c:dLbl>
              <c:idx val="1"/>
              <c:layout>
                <c:manualLayout>
                  <c:x val="-3.686636301427125E-2"/>
                  <c:y val="7.407407407407407E-2"/>
                </c:manualLayout>
              </c:layout>
              <c:showLegendKey val="0"/>
              <c:showVal val="1"/>
              <c:showCatName val="0"/>
              <c:showSerName val="0"/>
              <c:showPercent val="0"/>
              <c:showBubbleSize val="0"/>
            </c:dLbl>
            <c:dLbl>
              <c:idx val="2"/>
              <c:layout>
                <c:manualLayout>
                  <c:x val="-4.178187808284075E-2"/>
                  <c:y val="6.0185185185185182E-2"/>
                </c:manualLayout>
              </c:layout>
              <c:showLegendKey val="0"/>
              <c:showVal val="1"/>
              <c:showCatName val="0"/>
              <c:showSerName val="0"/>
              <c:showPercent val="0"/>
              <c:showBubbleSize val="0"/>
            </c:dLbl>
            <c:dLbl>
              <c:idx val="3"/>
              <c:layout>
                <c:manualLayout>
                  <c:x val="-5.4070665754264502E-2"/>
                  <c:y val="6.4814814814814811E-2"/>
                </c:manualLayout>
              </c:layout>
              <c:showLegendKey val="0"/>
              <c:showVal val="1"/>
              <c:showCatName val="0"/>
              <c:showSerName val="0"/>
              <c:showPercent val="0"/>
              <c:showBubbleSize val="0"/>
            </c:dLbl>
            <c:txPr>
              <a:bodyPr/>
              <a:lstStyle/>
              <a:p>
                <a:pPr>
                  <a:defRPr b="1" i="0" baseline="0"/>
                </a:pPr>
                <a:endParaRPr lang="pt-BR"/>
              </a:p>
            </c:txPr>
            <c:showLegendKey val="0"/>
            <c:showVal val="1"/>
            <c:showCatName val="0"/>
            <c:showSerName val="0"/>
            <c:showPercent val="0"/>
            <c:showBubbleSize val="0"/>
            <c:showLeaderLines val="0"/>
          </c:dLbls>
          <c:cat>
            <c:numRef>
              <c:f>Plan2!$D$38:$D$41</c:f>
              <c:numCache>
                <c:formatCode>General</c:formatCode>
                <c:ptCount val="4"/>
                <c:pt idx="0">
                  <c:v>2010</c:v>
                </c:pt>
                <c:pt idx="1">
                  <c:v>2011</c:v>
                </c:pt>
                <c:pt idx="2">
                  <c:v>2012</c:v>
                </c:pt>
                <c:pt idx="3">
                  <c:v>2013</c:v>
                </c:pt>
              </c:numCache>
            </c:numRef>
          </c:cat>
          <c:val>
            <c:numRef>
              <c:f>Plan2!$E$38:$E$41</c:f>
              <c:numCache>
                <c:formatCode>#,##0</c:formatCode>
                <c:ptCount val="4"/>
                <c:pt idx="0">
                  <c:v>22271</c:v>
                </c:pt>
                <c:pt idx="1">
                  <c:v>25949</c:v>
                </c:pt>
                <c:pt idx="2">
                  <c:v>28627</c:v>
                </c:pt>
                <c:pt idx="3">
                  <c:v>31240</c:v>
                </c:pt>
              </c:numCache>
            </c:numRef>
          </c:val>
          <c:smooth val="0"/>
        </c:ser>
        <c:dLbls>
          <c:showLegendKey val="0"/>
          <c:showVal val="0"/>
          <c:showCatName val="0"/>
          <c:showSerName val="0"/>
          <c:showPercent val="0"/>
          <c:showBubbleSize val="0"/>
        </c:dLbls>
        <c:marker val="1"/>
        <c:smooth val="0"/>
        <c:axId val="32942336"/>
        <c:axId val="32952320"/>
      </c:lineChart>
      <c:catAx>
        <c:axId val="32942336"/>
        <c:scaling>
          <c:orientation val="minMax"/>
        </c:scaling>
        <c:delete val="0"/>
        <c:axPos val="b"/>
        <c:numFmt formatCode="General" sourceLinked="1"/>
        <c:majorTickMark val="out"/>
        <c:minorTickMark val="none"/>
        <c:tickLblPos val="nextTo"/>
        <c:txPr>
          <a:bodyPr/>
          <a:lstStyle/>
          <a:p>
            <a:pPr>
              <a:defRPr b="1"/>
            </a:pPr>
            <a:endParaRPr lang="pt-BR"/>
          </a:p>
        </c:txPr>
        <c:crossAx val="32952320"/>
        <c:crosses val="autoZero"/>
        <c:auto val="1"/>
        <c:lblAlgn val="ctr"/>
        <c:lblOffset val="100"/>
        <c:noMultiLvlLbl val="0"/>
      </c:catAx>
      <c:valAx>
        <c:axId val="32952320"/>
        <c:scaling>
          <c:orientation val="minMax"/>
        </c:scaling>
        <c:delete val="0"/>
        <c:axPos val="l"/>
        <c:majorGridlines/>
        <c:numFmt formatCode="#,##0" sourceLinked="1"/>
        <c:majorTickMark val="out"/>
        <c:minorTickMark val="none"/>
        <c:tickLblPos val="nextTo"/>
        <c:txPr>
          <a:bodyPr/>
          <a:lstStyle/>
          <a:p>
            <a:pPr>
              <a:defRPr b="1"/>
            </a:pPr>
            <a:endParaRPr lang="pt-BR"/>
          </a:p>
        </c:txPr>
        <c:crossAx val="32942336"/>
        <c:crosses val="autoZero"/>
        <c:crossBetween val="between"/>
      </c:valAx>
      <c:spPr>
        <a:solidFill>
          <a:schemeClr val="accent6">
            <a:lumMod val="20000"/>
            <a:lumOff val="80000"/>
          </a:schemeClr>
        </a:solidFill>
        <a:ln>
          <a:noFill/>
        </a:ln>
      </c:spPr>
    </c:plotArea>
    <c:legend>
      <c:legendPos val="b"/>
      <c:layout/>
      <c:overlay val="0"/>
      <c:txPr>
        <a:bodyPr/>
        <a:lstStyle/>
        <a:p>
          <a:pPr>
            <a:defRPr sz="1200"/>
          </a:pPr>
          <a:endParaRPr lang="pt-BR"/>
        </a:p>
      </c:txPr>
    </c:legend>
    <c:plotVisOnly val="1"/>
    <c:dispBlanksAs val="zero"/>
    <c:showDLblsOverMax val="0"/>
  </c:chart>
  <c:spPr>
    <a:solidFill>
      <a:schemeClr val="accent6">
        <a:lumMod val="60000"/>
        <a:lumOff val="4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percentStacked"/>
        <c:varyColors val="0"/>
        <c:ser>
          <c:idx val="0"/>
          <c:order val="0"/>
          <c:tx>
            <c:strRef>
              <c:f>Plan3!$C$5</c:f>
              <c:strCache>
                <c:ptCount val="1"/>
                <c:pt idx="0">
                  <c:v>Agropecuaria</c:v>
                </c:pt>
              </c:strCache>
            </c:strRef>
          </c:tx>
          <c:spPr>
            <a:solidFill>
              <a:schemeClr val="tx2">
                <a:lumMod val="40000"/>
                <a:lumOff val="60000"/>
              </a:schemeClr>
            </a:solidFill>
          </c:spPr>
          <c:dLbls>
            <c:dLbl>
              <c:idx val="0"/>
              <c:layout>
                <c:manualLayout>
                  <c:x val="3.0382702433726236E-2"/>
                  <c:y val="-8.1177080450321858E-3"/>
                </c:manualLayout>
              </c:layout>
              <c:showLegendKey val="0"/>
              <c:showVal val="1"/>
              <c:showCatName val="0"/>
              <c:showSerName val="0"/>
              <c:showPercent val="0"/>
              <c:showBubbleSize val="0"/>
            </c:dLbl>
            <c:dLbl>
              <c:idx val="3"/>
              <c:layout>
                <c:manualLayout>
                  <c:x val="-4.206835721592863E-2"/>
                  <c:y val="-8.117708045032185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Plan3!$B$6:$B$9</c:f>
              <c:numCache>
                <c:formatCode>General</c:formatCode>
                <c:ptCount val="4"/>
                <c:pt idx="0">
                  <c:v>2010</c:v>
                </c:pt>
                <c:pt idx="1">
                  <c:v>2011</c:v>
                </c:pt>
                <c:pt idx="2">
                  <c:v>2012</c:v>
                </c:pt>
                <c:pt idx="3">
                  <c:v>2013</c:v>
                </c:pt>
              </c:numCache>
            </c:numRef>
          </c:cat>
          <c:val>
            <c:numRef>
              <c:f>Plan3!$C$6:$C$9</c:f>
              <c:numCache>
                <c:formatCode>General</c:formatCode>
                <c:ptCount val="4"/>
                <c:pt idx="0">
                  <c:v>6</c:v>
                </c:pt>
                <c:pt idx="1">
                  <c:v>8.3699999999999992</c:v>
                </c:pt>
                <c:pt idx="2">
                  <c:v>7.86</c:v>
                </c:pt>
                <c:pt idx="3">
                  <c:v>6.38</c:v>
                </c:pt>
              </c:numCache>
            </c:numRef>
          </c:val>
        </c:ser>
        <c:ser>
          <c:idx val="1"/>
          <c:order val="1"/>
          <c:tx>
            <c:strRef>
              <c:f>Plan3!$D$5</c:f>
              <c:strCache>
                <c:ptCount val="1"/>
                <c:pt idx="0">
                  <c:v>Indústria</c:v>
                </c:pt>
              </c:strCache>
            </c:strRef>
          </c:tx>
          <c:spPr>
            <a:solidFill>
              <a:schemeClr val="accent2">
                <a:lumMod val="60000"/>
                <a:lumOff val="40000"/>
              </a:schemeClr>
            </a:solidFill>
          </c:spPr>
          <c:dLbls>
            <c:dLbl>
              <c:idx val="0"/>
              <c:layout>
                <c:manualLayout>
                  <c:x val="3.7393911276988115E-2"/>
                  <c:y val="-2.4353443729901555E-2"/>
                </c:manualLayout>
              </c:layout>
              <c:showLegendKey val="0"/>
              <c:showVal val="1"/>
              <c:showCatName val="0"/>
              <c:showSerName val="0"/>
              <c:showPercent val="0"/>
              <c:showBubbleSize val="0"/>
            </c:dLbl>
            <c:dLbl>
              <c:idx val="3"/>
              <c:layout>
                <c:manualLayout>
                  <c:x val="-3.505696434660719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Plan3!$B$6:$B$9</c:f>
              <c:numCache>
                <c:formatCode>General</c:formatCode>
                <c:ptCount val="4"/>
                <c:pt idx="0">
                  <c:v>2010</c:v>
                </c:pt>
                <c:pt idx="1">
                  <c:v>2011</c:v>
                </c:pt>
                <c:pt idx="2">
                  <c:v>2012</c:v>
                </c:pt>
                <c:pt idx="3">
                  <c:v>2013</c:v>
                </c:pt>
              </c:numCache>
            </c:numRef>
          </c:cat>
          <c:val>
            <c:numRef>
              <c:f>Plan3!$D$6:$D$9</c:f>
              <c:numCache>
                <c:formatCode>General</c:formatCode>
                <c:ptCount val="4"/>
                <c:pt idx="0">
                  <c:v>16.28</c:v>
                </c:pt>
                <c:pt idx="1">
                  <c:v>16.329999999999998</c:v>
                </c:pt>
                <c:pt idx="2">
                  <c:v>15.28</c:v>
                </c:pt>
                <c:pt idx="3">
                  <c:v>12.36</c:v>
                </c:pt>
              </c:numCache>
            </c:numRef>
          </c:val>
        </c:ser>
        <c:ser>
          <c:idx val="2"/>
          <c:order val="2"/>
          <c:tx>
            <c:strRef>
              <c:f>Plan3!$E$5</c:f>
              <c:strCache>
                <c:ptCount val="1"/>
                <c:pt idx="0">
                  <c:v>Serviços</c:v>
                </c:pt>
              </c:strCache>
            </c:strRef>
          </c:tx>
          <c:spPr>
            <a:solidFill>
              <a:srgbClr val="FFC000"/>
            </a:solidFill>
          </c:spPr>
          <c:dLbls>
            <c:dLbl>
              <c:idx val="0"/>
              <c:layout>
                <c:manualLayout>
                  <c:x val="3.9731226259488155E-2"/>
                  <c:y val="0"/>
                </c:manualLayout>
              </c:layout>
              <c:showLegendKey val="0"/>
              <c:showVal val="1"/>
              <c:showCatName val="0"/>
              <c:showSerName val="0"/>
              <c:showPercent val="0"/>
              <c:showBubbleSize val="0"/>
            </c:dLbl>
            <c:dLbl>
              <c:idx val="3"/>
              <c:layout>
                <c:manualLayout>
                  <c:x val="-2.570844052084527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Plan3!$B$6:$B$9</c:f>
              <c:numCache>
                <c:formatCode>General</c:formatCode>
                <c:ptCount val="4"/>
                <c:pt idx="0">
                  <c:v>2010</c:v>
                </c:pt>
                <c:pt idx="1">
                  <c:v>2011</c:v>
                </c:pt>
                <c:pt idx="2">
                  <c:v>2012</c:v>
                </c:pt>
                <c:pt idx="3">
                  <c:v>2013</c:v>
                </c:pt>
              </c:numCache>
            </c:numRef>
          </c:cat>
          <c:val>
            <c:numRef>
              <c:f>Plan3!$E$6:$E$9</c:f>
              <c:numCache>
                <c:formatCode>General</c:formatCode>
                <c:ptCount val="4"/>
                <c:pt idx="0">
                  <c:v>77.72</c:v>
                </c:pt>
                <c:pt idx="1">
                  <c:v>75.3</c:v>
                </c:pt>
                <c:pt idx="2">
                  <c:v>76.86</c:v>
                </c:pt>
                <c:pt idx="3">
                  <c:v>81.260000000000005</c:v>
                </c:pt>
              </c:numCache>
            </c:numRef>
          </c:val>
        </c:ser>
        <c:dLbls>
          <c:showLegendKey val="0"/>
          <c:showVal val="0"/>
          <c:showCatName val="0"/>
          <c:showSerName val="0"/>
          <c:showPercent val="0"/>
          <c:showBubbleSize val="0"/>
        </c:dLbls>
        <c:axId val="67205760"/>
        <c:axId val="67223936"/>
      </c:areaChart>
      <c:catAx>
        <c:axId val="67205760"/>
        <c:scaling>
          <c:orientation val="minMax"/>
        </c:scaling>
        <c:delete val="0"/>
        <c:axPos val="b"/>
        <c:numFmt formatCode="General" sourceLinked="1"/>
        <c:majorTickMark val="out"/>
        <c:minorTickMark val="none"/>
        <c:tickLblPos val="nextTo"/>
        <c:txPr>
          <a:bodyPr/>
          <a:lstStyle/>
          <a:p>
            <a:pPr>
              <a:defRPr b="1"/>
            </a:pPr>
            <a:endParaRPr lang="pt-BR"/>
          </a:p>
        </c:txPr>
        <c:crossAx val="67223936"/>
        <c:crosses val="autoZero"/>
        <c:auto val="1"/>
        <c:lblAlgn val="ctr"/>
        <c:lblOffset val="100"/>
        <c:noMultiLvlLbl val="0"/>
      </c:catAx>
      <c:valAx>
        <c:axId val="67223936"/>
        <c:scaling>
          <c:orientation val="minMax"/>
        </c:scaling>
        <c:delete val="0"/>
        <c:axPos val="l"/>
        <c:majorGridlines/>
        <c:numFmt formatCode="0%" sourceLinked="1"/>
        <c:majorTickMark val="out"/>
        <c:minorTickMark val="none"/>
        <c:tickLblPos val="nextTo"/>
        <c:txPr>
          <a:bodyPr/>
          <a:lstStyle/>
          <a:p>
            <a:pPr>
              <a:defRPr sz="1050" b="1"/>
            </a:pPr>
            <a:endParaRPr lang="pt-BR"/>
          </a:p>
        </c:txPr>
        <c:crossAx val="67205760"/>
        <c:crosses val="autoZero"/>
        <c:crossBetween val="midCat"/>
      </c:valAx>
    </c:plotArea>
    <c:legend>
      <c:legendPos val="b"/>
      <c:layout/>
      <c:overlay val="0"/>
      <c:txPr>
        <a:bodyPr/>
        <a:lstStyle/>
        <a:p>
          <a:pPr>
            <a:defRPr sz="1100" b="1"/>
          </a:pPr>
          <a:endParaRPr lang="pt-BR"/>
        </a:p>
      </c:txPr>
    </c:legend>
    <c:plotVisOnly val="1"/>
    <c:dispBlanksAs val="zero"/>
    <c:showDLblsOverMax val="0"/>
  </c:chart>
  <c:spPr>
    <a:solidFill>
      <a:schemeClr val="bg1">
        <a:lumMod val="85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201103487536945"/>
          <c:y val="0"/>
          <c:w val="0.66186814883433687"/>
          <c:h val="1"/>
        </c:manualLayout>
      </c:layout>
      <c:pie3DChart>
        <c:varyColors val="1"/>
        <c:ser>
          <c:idx val="0"/>
          <c:order val="0"/>
          <c:explosion val="9"/>
          <c:dPt>
            <c:idx val="0"/>
            <c:bubble3D val="0"/>
            <c:spPr>
              <a:solidFill>
                <a:srgbClr val="FFC000"/>
              </a:solidFill>
            </c:spPr>
          </c:dPt>
          <c:dPt>
            <c:idx val="12"/>
            <c:bubble3D val="0"/>
            <c:spPr>
              <a:solidFill>
                <a:srgbClr val="00B050"/>
              </a:solidFill>
            </c:spPr>
          </c:dPt>
          <c:dPt>
            <c:idx val="14"/>
            <c:bubble3D val="0"/>
            <c:spPr>
              <a:solidFill>
                <a:srgbClr val="FFFF00"/>
              </a:solidFill>
            </c:spPr>
          </c:dPt>
          <c:dLbls>
            <c:txPr>
              <a:bodyPr/>
              <a:lstStyle/>
              <a:p>
                <a:pPr>
                  <a:defRPr sz="900" b="1" i="0" baseline="0"/>
                </a:pPr>
                <a:endParaRPr lang="pt-BR"/>
              </a:p>
            </c:txPr>
            <c:showLegendKey val="0"/>
            <c:showVal val="1"/>
            <c:showCatName val="0"/>
            <c:showSerName val="0"/>
            <c:showPercent val="0"/>
            <c:showBubbleSize val="0"/>
            <c:showLeaderLines val="1"/>
          </c:dLbls>
          <c:cat>
            <c:strRef>
              <c:f>Plan4!$A$5:$A$22</c:f>
              <c:strCache>
                <c:ptCount val="18"/>
                <c:pt idx="0">
                  <c:v>Agricultura</c:v>
                </c:pt>
                <c:pt idx="1">
                  <c:v>Pecuária</c:v>
                </c:pt>
                <c:pt idx="2">
                  <c:v>Produção florestal</c:v>
                </c:pt>
                <c:pt idx="3">
                  <c:v>Indústria extrativa</c:v>
                </c:pt>
                <c:pt idx="4">
                  <c:v>Transformação</c:v>
                </c:pt>
                <c:pt idx="5">
                  <c:v>Eletricidade e gás, água, esgoto</c:v>
                </c:pt>
                <c:pt idx="6">
                  <c:v>Construção</c:v>
                </c:pt>
                <c:pt idx="7">
                  <c:v>Comércio</c:v>
                </c:pt>
                <c:pt idx="8">
                  <c:v>Transporte</c:v>
                </c:pt>
                <c:pt idx="9">
                  <c:v>Alojamento e alimentação</c:v>
                </c:pt>
                <c:pt idx="10">
                  <c:v>Informação e comunicação</c:v>
                </c:pt>
                <c:pt idx="11">
                  <c:v>Atividades financeiras</c:v>
                </c:pt>
                <c:pt idx="12">
                  <c:v>Atividades imobiliárias</c:v>
                </c:pt>
                <c:pt idx="13">
                  <c:v>Atividades profissionais</c:v>
                </c:pt>
                <c:pt idx="14">
                  <c:v>Administração Pública</c:v>
                </c:pt>
                <c:pt idx="15">
                  <c:v>Educação e saúde mercantis</c:v>
                </c:pt>
                <c:pt idx="16">
                  <c:v>Artes, cultura</c:v>
                </c:pt>
                <c:pt idx="17">
                  <c:v>Serviços domésticos</c:v>
                </c:pt>
              </c:strCache>
            </c:strRef>
          </c:cat>
          <c:val>
            <c:numRef>
              <c:f>Plan4!$B$5:$B$22</c:f>
              <c:numCache>
                <c:formatCode>0.00%</c:formatCode>
                <c:ptCount val="18"/>
                <c:pt idx="0">
                  <c:v>3.9545777868351131E-2</c:v>
                </c:pt>
                <c:pt idx="1">
                  <c:v>1.6794566588505179E-2</c:v>
                </c:pt>
                <c:pt idx="2">
                  <c:v>7.4862594242271607E-3</c:v>
                </c:pt>
                <c:pt idx="3">
                  <c:v>2.6123925145694654E-3</c:v>
                </c:pt>
                <c:pt idx="4">
                  <c:v>3.6410811839700505E-2</c:v>
                </c:pt>
                <c:pt idx="5">
                  <c:v>6.7729324185617735E-3</c:v>
                </c:pt>
                <c:pt idx="6">
                  <c:v>7.7792677593610415E-2</c:v>
                </c:pt>
                <c:pt idx="7">
                  <c:v>0.18488081073895238</c:v>
                </c:pt>
                <c:pt idx="8">
                  <c:v>2.5857555652033765E-2</c:v>
                </c:pt>
                <c:pt idx="9">
                  <c:v>3.3955451489923259E-2</c:v>
                </c:pt>
                <c:pt idx="10">
                  <c:v>1.4844776095337377E-2</c:v>
                </c:pt>
                <c:pt idx="11">
                  <c:v>2.4528580337988614E-2</c:v>
                </c:pt>
                <c:pt idx="12">
                  <c:v>7.7351896569971157E-2</c:v>
                </c:pt>
                <c:pt idx="13">
                  <c:v>4.8959868558084485E-2</c:v>
                </c:pt>
                <c:pt idx="14">
                  <c:v>0.34409384730256998</c:v>
                </c:pt>
                <c:pt idx="15">
                  <c:v>2.5516052929210453E-2</c:v>
                </c:pt>
                <c:pt idx="16">
                  <c:v>1.3318527264218805E-2</c:v>
                </c:pt>
                <c:pt idx="17">
                  <c:v>1.9277214814183992E-2</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2818725528161433E-2"/>
          <c:y val="0.79062184534625479"/>
          <c:w val="0.96173860620363627"/>
          <c:h val="0.20937815465374521"/>
        </c:manualLayout>
      </c:layout>
      <c:overlay val="0"/>
      <c:spPr>
        <a:solidFill>
          <a:schemeClr val="accent4">
            <a:lumMod val="40000"/>
            <a:lumOff val="60000"/>
          </a:schemeClr>
        </a:solidFill>
      </c:spPr>
      <c:txPr>
        <a:bodyPr/>
        <a:lstStyle/>
        <a:p>
          <a:pPr>
            <a:defRPr sz="800" b="1"/>
          </a:pPr>
          <a:endParaRPr lang="pt-BR"/>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6AEE2-E13C-47C4-8435-EE25E890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3329</Words>
  <Characters>17979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cepro146</dc:creator>
  <cp:lastModifiedBy>Fundação</cp:lastModifiedBy>
  <cp:revision>2</cp:revision>
  <cp:lastPrinted>2015-11-13T12:50:00Z</cp:lastPrinted>
  <dcterms:created xsi:type="dcterms:W3CDTF">2015-11-17T13:06:00Z</dcterms:created>
  <dcterms:modified xsi:type="dcterms:W3CDTF">2015-11-17T13:06:00Z</dcterms:modified>
</cp:coreProperties>
</file>